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8D955">
      <w:pPr>
        <w:spacing w:line="520" w:lineRule="exact"/>
        <w:jc w:val="left"/>
        <w:rPr>
          <w:rFonts w:eastAsia="黑体"/>
          <w:sz w:val="32"/>
          <w:szCs w:val="44"/>
        </w:rPr>
      </w:pPr>
      <w:bookmarkStart w:id="3" w:name="_GoBack"/>
      <w:bookmarkEnd w:id="3"/>
      <w:r>
        <w:rPr>
          <w:rFonts w:eastAsia="黑体"/>
          <w:sz w:val="32"/>
          <w:szCs w:val="44"/>
        </w:rPr>
        <w:t>附件4</w:t>
      </w:r>
    </w:p>
    <w:p w14:paraId="39594423">
      <w:pPr>
        <w:spacing w:line="520" w:lineRule="exact"/>
        <w:jc w:val="left"/>
        <w:rPr>
          <w:rFonts w:eastAsia="黑体"/>
          <w:sz w:val="32"/>
          <w:szCs w:val="44"/>
        </w:rPr>
      </w:pPr>
    </w:p>
    <w:p w14:paraId="02167633">
      <w:pPr>
        <w:spacing w:line="520" w:lineRule="exact"/>
        <w:jc w:val="center"/>
        <w:rPr>
          <w:rFonts w:eastAsia="方正小标宋简体"/>
          <w:sz w:val="44"/>
          <w:szCs w:val="44"/>
        </w:rPr>
      </w:pPr>
      <w:r>
        <w:rPr>
          <w:rFonts w:eastAsia="方正小标宋简体"/>
          <w:sz w:val="44"/>
          <w:szCs w:val="44"/>
        </w:rPr>
        <w:t>药物基因组相关基因检测试剂临床评价</w:t>
      </w:r>
    </w:p>
    <w:p w14:paraId="0901B57A">
      <w:pPr>
        <w:spacing w:line="520" w:lineRule="exact"/>
        <w:jc w:val="center"/>
        <w:rPr>
          <w:rFonts w:eastAsia="方正小标宋简体"/>
          <w:sz w:val="44"/>
          <w:szCs w:val="44"/>
        </w:rPr>
      </w:pPr>
      <w:r>
        <w:rPr>
          <w:rFonts w:eastAsia="方正小标宋简体"/>
          <w:sz w:val="44"/>
          <w:szCs w:val="44"/>
        </w:rPr>
        <w:t>技术审查指导原</w:t>
      </w:r>
      <w:r>
        <w:rPr>
          <w:rFonts w:hint="eastAsia" w:ascii="方正小标宋简体" w:eastAsia="方正小标宋简体"/>
          <w:sz w:val="44"/>
          <w:szCs w:val="44"/>
        </w:rPr>
        <w:t>则</w:t>
      </w:r>
    </w:p>
    <w:p w14:paraId="6BC27ED2">
      <w:pPr>
        <w:spacing w:line="520" w:lineRule="exact"/>
        <w:jc w:val="center"/>
        <w:rPr>
          <w:rFonts w:eastAsia="方正小标宋简体"/>
          <w:sz w:val="44"/>
          <w:szCs w:val="44"/>
        </w:rPr>
      </w:pPr>
    </w:p>
    <w:p w14:paraId="3FFF5407">
      <w:pPr>
        <w:spacing w:line="520" w:lineRule="exact"/>
        <w:ind w:firstLine="640" w:firstLineChars="200"/>
        <w:contextualSpacing/>
        <w:rPr>
          <w:rFonts w:eastAsia="仿宋_GB2312"/>
          <w:sz w:val="32"/>
          <w:szCs w:val="32"/>
        </w:rPr>
      </w:pPr>
      <w:r>
        <w:rPr>
          <w:rFonts w:eastAsia="仿宋_GB2312"/>
          <w:sz w:val="32"/>
          <w:szCs w:val="32"/>
        </w:rPr>
        <w:t>本指导原则旨在指导注册申请人对药物基因组相关基因检测试剂临床评价资料的准备及撰写，同时也为技术审评部门提供参考。</w:t>
      </w:r>
    </w:p>
    <w:p w14:paraId="39D7F639">
      <w:pPr>
        <w:spacing w:line="520" w:lineRule="exact"/>
        <w:ind w:firstLine="640" w:firstLineChars="200"/>
        <w:contextualSpacing/>
        <w:rPr>
          <w:rFonts w:eastAsia="仿宋_GB2312"/>
          <w:sz w:val="32"/>
          <w:szCs w:val="32"/>
        </w:rPr>
      </w:pPr>
      <w:r>
        <w:rPr>
          <w:rFonts w:eastAsia="仿宋_GB2312"/>
          <w:sz w:val="32"/>
          <w:szCs w:val="32"/>
        </w:rPr>
        <w:t>本指导原则是对药物基因组相关基因检测试剂临床评价的一般要求，申请人应依据产品的具体特性确定其中内容是否适用，若不适用，需具体阐述理由及相应的科学依据，并依据产品的具体特性对注册申报资料的内容进行充实和细化。</w:t>
      </w:r>
    </w:p>
    <w:p w14:paraId="1E205C52">
      <w:pPr>
        <w:spacing w:line="520" w:lineRule="exact"/>
        <w:ind w:firstLine="640" w:firstLineChars="200"/>
        <w:contextualSpacing/>
        <w:rPr>
          <w:rFonts w:eastAsia="仿宋_GB2312"/>
          <w:sz w:val="32"/>
          <w:szCs w:val="32"/>
        </w:rPr>
      </w:pPr>
      <w:r>
        <w:rPr>
          <w:rFonts w:eastAsia="仿宋_GB2312"/>
          <w:sz w:val="32"/>
          <w:szCs w:val="32"/>
        </w:rPr>
        <w:t>本指导原则是供注册申请人和技术审查人员的指导性文件，但不包括审评审批所涉及的行政事项，亦不作为法规强制执行，应在遵循相关法规的前提下使用本指导原则。如果有能够满足相关法规要求的其他方法，也可以采用，但需要提供详细的研究资料和验证资料。</w:t>
      </w:r>
    </w:p>
    <w:p w14:paraId="53C5D893">
      <w:pPr>
        <w:spacing w:line="520" w:lineRule="exact"/>
        <w:ind w:firstLine="640" w:firstLineChars="200"/>
        <w:contextualSpacing/>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本指导原则是在现行法规和标准体系以及当前认知水平下制定的，随着法规和标准的不断完善，以及科学技术的不断发展，相关内容也将适时进行调整。</w:t>
      </w:r>
    </w:p>
    <w:p w14:paraId="64B917EC">
      <w:pPr>
        <w:pStyle w:val="26"/>
        <w:numPr>
          <w:ilvl w:val="0"/>
          <w:numId w:val="1"/>
        </w:numPr>
        <w:spacing w:line="520" w:lineRule="exact"/>
        <w:ind w:firstLineChars="0"/>
        <w:contextualSpacing/>
        <w:rPr>
          <w:rFonts w:eastAsia="黑体"/>
          <w:sz w:val="32"/>
          <w:szCs w:val="32"/>
        </w:rPr>
      </w:pPr>
      <w:r>
        <w:rPr>
          <w:rFonts w:eastAsia="黑体"/>
          <w:sz w:val="32"/>
          <w:szCs w:val="32"/>
        </w:rPr>
        <w:t>适用范围</w:t>
      </w:r>
    </w:p>
    <w:p w14:paraId="4851238E">
      <w:pPr>
        <w:spacing w:line="520" w:lineRule="exact"/>
        <w:ind w:firstLine="640" w:firstLineChars="200"/>
        <w:contextualSpacing/>
        <w:rPr>
          <w:rFonts w:eastAsia="仿宋_GB2312"/>
          <w:sz w:val="32"/>
          <w:szCs w:val="32"/>
        </w:rPr>
      </w:pPr>
      <w:r>
        <w:rPr>
          <w:rFonts w:eastAsia="仿宋_GB2312"/>
          <w:sz w:val="32"/>
          <w:szCs w:val="32"/>
        </w:rPr>
        <w:t>近年来，药物基因组学得到了迅猛发展，越来越多的药物基因组生物标志物相继涌现，比较典型的标志物如：药物代谢酶、药物转运体、药物作用靶点以及与指导用药相关的人类白细胞抗原等的基因变异。</w:t>
      </w:r>
    </w:p>
    <w:p w14:paraId="2CE0C3F5">
      <w:pPr>
        <w:spacing w:line="520" w:lineRule="exact"/>
        <w:ind w:firstLine="640" w:firstLineChars="200"/>
        <w:contextualSpacing/>
        <w:rPr>
          <w:rFonts w:eastAsia="仿宋_GB2312"/>
          <w:sz w:val="32"/>
          <w:szCs w:val="32"/>
        </w:rPr>
      </w:pPr>
      <w:r>
        <w:rPr>
          <w:rFonts w:eastAsia="仿宋_GB2312"/>
          <w:sz w:val="32"/>
          <w:szCs w:val="32"/>
        </w:rPr>
        <w:t>药物代谢酶、药物转运体、药物作用靶点以及与指导用药相关的人类白细胞抗原等的基因变异可通过影响药物的体内浓度或靶组织对药物的敏感性，导致药物反应（如药物疗效或药物不良反应）的个体差异。药物基因组生物标志物的检测，是临床实施基因导向个体化药物治疗的前提。检测的目的主要有以下两方面：</w:t>
      </w:r>
    </w:p>
    <w:p w14:paraId="707DBFCC">
      <w:pPr>
        <w:spacing w:line="520" w:lineRule="exact"/>
        <w:ind w:firstLine="640" w:firstLineChars="200"/>
        <w:contextualSpacing/>
        <w:rPr>
          <w:rFonts w:eastAsia="仿宋_GB2312"/>
          <w:sz w:val="32"/>
          <w:szCs w:val="32"/>
        </w:rPr>
      </w:pPr>
      <w:r>
        <w:rPr>
          <w:rFonts w:eastAsia="仿宋_GB2312"/>
          <w:sz w:val="32"/>
          <w:szCs w:val="32"/>
        </w:rPr>
        <w:t>1. 根据个体遗传信息预测药物疗效，从而调整用药剂量或更换用药种类，以改善药物疗效。</w:t>
      </w:r>
    </w:p>
    <w:p w14:paraId="462BE928">
      <w:pPr>
        <w:spacing w:line="520" w:lineRule="exact"/>
        <w:ind w:firstLine="640" w:firstLineChars="200"/>
        <w:contextualSpacing/>
        <w:rPr>
          <w:rFonts w:eastAsia="仿宋_GB2312"/>
          <w:sz w:val="32"/>
          <w:szCs w:val="32"/>
        </w:rPr>
      </w:pPr>
      <w:r>
        <w:rPr>
          <w:rFonts w:eastAsia="仿宋_GB2312"/>
          <w:sz w:val="32"/>
          <w:szCs w:val="32"/>
        </w:rPr>
        <w:t>2. 根据个体遗传信息预测药物不良反应，从而调整用药剂量或更换用药种类，以避免药物不良反应。</w:t>
      </w:r>
    </w:p>
    <w:p w14:paraId="4AE0BA99">
      <w:pPr>
        <w:spacing w:line="520" w:lineRule="exact"/>
        <w:ind w:firstLine="640" w:firstLineChars="200"/>
        <w:contextualSpacing/>
        <w:rPr>
          <w:rFonts w:eastAsia="仿宋_GB2312"/>
          <w:sz w:val="32"/>
          <w:szCs w:val="32"/>
        </w:rPr>
      </w:pPr>
      <w:r>
        <w:rPr>
          <w:rFonts w:eastAsia="仿宋_GB2312"/>
          <w:sz w:val="32"/>
          <w:szCs w:val="32"/>
        </w:rPr>
        <w:t>本指导原则所述药物基因组相关基因检测试剂即指药物代谢酶、药物转运体、药物作用靶点以及与指导用药相关的人类白细胞抗原等的基因变异检测试剂，适用于采用基因检测方法检测人体样本中基因组特定变异，从而指导特定药物使用的检测试剂。</w:t>
      </w:r>
    </w:p>
    <w:p w14:paraId="26FDF6AE">
      <w:pPr>
        <w:spacing w:line="520" w:lineRule="exact"/>
        <w:ind w:firstLine="640" w:firstLineChars="200"/>
        <w:contextualSpacing/>
        <w:rPr>
          <w:rFonts w:eastAsia="仿宋_GB2312"/>
          <w:sz w:val="32"/>
          <w:szCs w:val="32"/>
        </w:rPr>
      </w:pPr>
      <w:r>
        <w:rPr>
          <w:rFonts w:eastAsia="仿宋_GB2312"/>
          <w:sz w:val="32"/>
          <w:szCs w:val="32"/>
        </w:rPr>
        <w:t>本指导原则不适用于伴随诊断试剂。</w:t>
      </w:r>
    </w:p>
    <w:p w14:paraId="3B2DDBD6">
      <w:pPr>
        <w:spacing w:line="520" w:lineRule="exact"/>
        <w:ind w:firstLine="640" w:firstLineChars="200"/>
        <w:contextualSpacing/>
        <w:rPr>
          <w:rFonts w:eastAsia="仿宋_GB2312"/>
          <w:sz w:val="32"/>
          <w:szCs w:val="32"/>
        </w:rPr>
      </w:pPr>
      <w:r>
        <w:rPr>
          <w:rFonts w:eastAsia="仿宋_GB2312"/>
          <w:sz w:val="32"/>
          <w:szCs w:val="32"/>
        </w:rPr>
        <w:t>本指导原则适用于体外诊断试剂产品注册申请和变更注册申请，重点明确药物基因组相关基因检测试剂临床评价资料的准备及撰写要求。</w:t>
      </w:r>
    </w:p>
    <w:p w14:paraId="502312CD">
      <w:pPr>
        <w:spacing w:line="520" w:lineRule="exact"/>
        <w:ind w:firstLine="640" w:firstLineChars="200"/>
        <w:contextualSpacing/>
        <w:rPr>
          <w:rFonts w:eastAsia="黑体"/>
          <w:sz w:val="32"/>
          <w:szCs w:val="32"/>
        </w:rPr>
      </w:pPr>
      <w:r>
        <w:rPr>
          <w:rFonts w:eastAsia="黑体"/>
          <w:sz w:val="32"/>
          <w:szCs w:val="32"/>
        </w:rPr>
        <w:t>二、注册审查要点</w:t>
      </w:r>
    </w:p>
    <w:p w14:paraId="35D35165">
      <w:pPr>
        <w:spacing w:line="520" w:lineRule="exact"/>
        <w:ind w:firstLine="640" w:firstLineChars="200"/>
        <w:rPr>
          <w:rFonts w:ascii="楷体_GB2312" w:eastAsia="楷体_GB2312"/>
          <w:sz w:val="32"/>
          <w:szCs w:val="32"/>
        </w:rPr>
      </w:pPr>
      <w:r>
        <w:rPr>
          <w:rFonts w:hint="eastAsia" w:ascii="楷体_GB2312" w:eastAsia="楷体_GB2312"/>
          <w:sz w:val="32"/>
          <w:szCs w:val="32"/>
        </w:rPr>
        <w:t>（一）药物基因组相关基因检测试剂基因变异与特定药物的关系</w:t>
      </w:r>
    </w:p>
    <w:p w14:paraId="29BA811B">
      <w:pPr>
        <w:spacing w:line="520" w:lineRule="exact"/>
        <w:ind w:firstLine="640" w:firstLineChars="200"/>
        <w:contextualSpacing/>
        <w:rPr>
          <w:rFonts w:eastAsia="仿宋_GB2312"/>
          <w:sz w:val="32"/>
          <w:szCs w:val="32"/>
        </w:rPr>
      </w:pPr>
      <w:bookmarkStart w:id="0" w:name="OLE_LINK3"/>
      <w:r>
        <w:rPr>
          <w:rFonts w:eastAsia="仿宋_GB2312"/>
          <w:sz w:val="32"/>
          <w:szCs w:val="32"/>
        </w:rPr>
        <w:t>药物基因组相关基因检测试剂</w:t>
      </w:r>
      <w:bookmarkEnd w:id="0"/>
      <w:r>
        <w:rPr>
          <w:rFonts w:eastAsia="仿宋_GB2312"/>
          <w:sz w:val="32"/>
          <w:szCs w:val="32"/>
        </w:rPr>
        <w:t>产品设计的关键点在于特定基因变异及其指导的特定药物的选择。</w:t>
      </w:r>
    </w:p>
    <w:p w14:paraId="379C182C">
      <w:pPr>
        <w:spacing w:line="520" w:lineRule="exact"/>
        <w:ind w:firstLine="640" w:firstLineChars="200"/>
        <w:contextualSpacing/>
        <w:rPr>
          <w:rFonts w:eastAsia="仿宋_GB2312"/>
          <w:sz w:val="32"/>
          <w:szCs w:val="32"/>
        </w:rPr>
      </w:pPr>
      <w:r>
        <w:rPr>
          <w:rFonts w:eastAsia="仿宋_GB2312"/>
          <w:sz w:val="32"/>
          <w:szCs w:val="32"/>
        </w:rPr>
        <w:t>在该类试剂的设计开发过程中，申请人应充分考虑备选基因变异和药物的临床需求、临床认可度、以及备选基因变异各基因型在中国人群的发生频率等，充分调研国内外药品说明书、相关指南和权威数据库（如：PharmGKB数据库、CPIC数据库和DPWG数据库等），选择适当的基因变异和药物组合。</w:t>
      </w:r>
    </w:p>
    <w:p w14:paraId="45D27702">
      <w:pPr>
        <w:spacing w:line="520" w:lineRule="exact"/>
        <w:ind w:firstLine="640" w:firstLineChars="200"/>
        <w:contextualSpacing/>
        <w:rPr>
          <w:rFonts w:eastAsia="仿宋_GB2312"/>
          <w:sz w:val="32"/>
          <w:szCs w:val="32"/>
        </w:rPr>
      </w:pPr>
      <w:r>
        <w:rPr>
          <w:rFonts w:eastAsia="仿宋_GB2312"/>
          <w:sz w:val="32"/>
          <w:szCs w:val="32"/>
        </w:rPr>
        <w:t>申请人应特别关注针对中国人群的研究数据，基因变异和药物组合应适合中国人群的特点，满足中国人群的临床使用需要。</w:t>
      </w:r>
    </w:p>
    <w:p w14:paraId="3954777A">
      <w:pPr>
        <w:spacing w:line="520" w:lineRule="exact"/>
        <w:ind w:firstLine="640" w:firstLineChars="200"/>
        <w:rPr>
          <w:rFonts w:eastAsia="仿宋_GB2312"/>
          <w:sz w:val="32"/>
          <w:szCs w:val="32"/>
        </w:rPr>
      </w:pPr>
      <w:r>
        <w:rPr>
          <w:rFonts w:eastAsia="仿宋_GB2312"/>
          <w:sz w:val="32"/>
          <w:szCs w:val="32"/>
        </w:rPr>
        <w:t>针对药物基因组多基因联合检测试剂，在产品设计开发时，应充分考虑多基因联检对单个或多重用药患者的指导具有明确的临床意义时，方可考虑联检组合。</w:t>
      </w:r>
    </w:p>
    <w:p w14:paraId="7438E8CF">
      <w:pPr>
        <w:spacing w:line="520" w:lineRule="exact"/>
        <w:ind w:firstLine="640" w:firstLineChars="200"/>
        <w:rPr>
          <w:rFonts w:ascii="楷体_GB2312" w:eastAsia="楷体_GB2312"/>
          <w:sz w:val="32"/>
          <w:szCs w:val="32"/>
        </w:rPr>
      </w:pPr>
      <w:r>
        <w:rPr>
          <w:rFonts w:ascii="楷体_GB2312" w:eastAsia="楷体_GB2312"/>
          <w:sz w:val="32"/>
          <w:szCs w:val="32"/>
        </w:rPr>
        <w:t>（二）药物基因组相关基因检测试剂临床评价要求</w:t>
      </w:r>
    </w:p>
    <w:p w14:paraId="2D65AE04">
      <w:pPr>
        <w:spacing w:line="520" w:lineRule="exact"/>
        <w:ind w:firstLine="640" w:firstLineChars="200"/>
        <w:rPr>
          <w:rFonts w:eastAsia="仿宋_GB2312"/>
          <w:sz w:val="32"/>
          <w:szCs w:val="32"/>
        </w:rPr>
      </w:pPr>
      <w:r>
        <w:rPr>
          <w:rFonts w:eastAsia="仿宋_GB2312"/>
          <w:sz w:val="32"/>
          <w:szCs w:val="32"/>
        </w:rPr>
        <w:t>该类产品应通过临床试验路径进行临床评价，临床试验的开展应符合《体外诊断试剂注册与备案管理办法》《医疗器械临床试验质量管理规范》以及《体外诊断试剂临床试验技术指导原则》的相关要求，如相关法规、规章、规范性文件有更新，临床试验应符合更新后的要求。</w:t>
      </w:r>
    </w:p>
    <w:p w14:paraId="361B35CF">
      <w:pPr>
        <w:spacing w:line="520" w:lineRule="exact"/>
        <w:ind w:firstLine="640" w:firstLineChars="200"/>
        <w:rPr>
          <w:rFonts w:eastAsia="仿宋_GB2312"/>
          <w:sz w:val="32"/>
          <w:szCs w:val="32"/>
        </w:rPr>
      </w:pPr>
      <w:r>
        <w:rPr>
          <w:rFonts w:eastAsia="仿宋_GB2312"/>
          <w:sz w:val="32"/>
          <w:szCs w:val="32"/>
        </w:rPr>
        <w:t>1. 临床评价内容</w:t>
      </w:r>
    </w:p>
    <w:p w14:paraId="7A29E658">
      <w:pPr>
        <w:spacing w:line="520" w:lineRule="exact"/>
        <w:ind w:firstLine="640" w:firstLineChars="200"/>
        <w:rPr>
          <w:rFonts w:eastAsia="仿宋_GB2312"/>
          <w:sz w:val="32"/>
          <w:szCs w:val="32"/>
        </w:rPr>
      </w:pPr>
      <w:r>
        <w:rPr>
          <w:rFonts w:eastAsia="仿宋_GB2312"/>
          <w:sz w:val="32"/>
          <w:szCs w:val="32"/>
        </w:rPr>
        <w:t>该类试剂的临床评价包括临床意义确认和临床检测性能确认两大部分内容：</w:t>
      </w:r>
    </w:p>
    <w:p w14:paraId="6841C1BD">
      <w:pPr>
        <w:spacing w:line="520" w:lineRule="exact"/>
        <w:ind w:firstLine="640" w:firstLineChars="200"/>
        <w:rPr>
          <w:rFonts w:eastAsia="仿宋_GB2312"/>
          <w:sz w:val="32"/>
          <w:szCs w:val="32"/>
        </w:rPr>
      </w:pPr>
      <w:r>
        <w:rPr>
          <w:rFonts w:eastAsia="仿宋_GB2312"/>
          <w:sz w:val="32"/>
          <w:szCs w:val="32"/>
        </w:rPr>
        <w:t>1.1产品临床意义的确认，即基因变异与药物反应关系的确认，可通过国内外药品说明书、相关指南和权威数据库等提供临床证据，必要时，可通过临床试验提供产品临床意义确认的证据，可为多种证据类型的组合。</w:t>
      </w:r>
    </w:p>
    <w:p w14:paraId="3E2F052D">
      <w:pPr>
        <w:spacing w:line="520" w:lineRule="exact"/>
        <w:ind w:firstLine="640" w:firstLineChars="200"/>
        <w:rPr>
          <w:rFonts w:eastAsia="仿宋_GB2312"/>
          <w:sz w:val="32"/>
          <w:szCs w:val="32"/>
        </w:rPr>
      </w:pPr>
      <w:r>
        <w:rPr>
          <w:rFonts w:eastAsia="仿宋_GB2312"/>
          <w:sz w:val="32"/>
          <w:szCs w:val="32"/>
        </w:rPr>
        <w:t>1.2产品临床检测性能的确认，应进行临床试验。</w:t>
      </w:r>
    </w:p>
    <w:p w14:paraId="3A30E8B9">
      <w:pPr>
        <w:spacing w:line="520" w:lineRule="exact"/>
        <w:ind w:firstLine="640" w:firstLineChars="200"/>
        <w:rPr>
          <w:rFonts w:eastAsia="仿宋_GB2312"/>
          <w:sz w:val="32"/>
          <w:szCs w:val="32"/>
        </w:rPr>
      </w:pPr>
      <w:r>
        <w:rPr>
          <w:rFonts w:eastAsia="仿宋_GB2312"/>
          <w:sz w:val="32"/>
          <w:szCs w:val="32"/>
        </w:rPr>
        <w:t>1.3临床意义的确认或临床检测性能的确认，如果需通过临床试验提供临床证据，应注意：</w:t>
      </w:r>
    </w:p>
    <w:p w14:paraId="0533A6F0">
      <w:pPr>
        <w:spacing w:line="520" w:lineRule="exact"/>
        <w:ind w:firstLine="640" w:firstLineChars="200"/>
        <w:rPr>
          <w:rFonts w:eastAsia="仿宋_GB2312"/>
          <w:sz w:val="32"/>
          <w:szCs w:val="32"/>
        </w:rPr>
      </w:pPr>
      <w:r>
        <w:rPr>
          <w:rFonts w:eastAsia="仿宋_GB2312"/>
          <w:sz w:val="32"/>
          <w:szCs w:val="32"/>
        </w:rPr>
        <w:t>1.3.1境内临床试验应符合《体外诊断试剂注册与备案管理办法》、《医疗器械临床试验质量管理规范》及《体外诊断试剂临床试验技术指导原则》等现行法规的要求。</w:t>
      </w:r>
    </w:p>
    <w:p w14:paraId="00C891A4">
      <w:pPr>
        <w:overflowPunct w:val="0"/>
        <w:spacing w:line="520" w:lineRule="exact"/>
        <w:ind w:firstLine="640" w:firstLineChars="200"/>
        <w:rPr>
          <w:rFonts w:eastAsia="仿宋_GB2312"/>
          <w:sz w:val="32"/>
          <w:szCs w:val="32"/>
        </w:rPr>
      </w:pPr>
      <w:r>
        <w:rPr>
          <w:rFonts w:eastAsia="仿宋_GB2312"/>
          <w:sz w:val="32"/>
          <w:szCs w:val="32"/>
        </w:rPr>
        <w:t>1.3.2 如使用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注册申请人应根据上述临床试验技术审评要求，论证境外临床试验数据的充分性。如有必要，补充相关临床证据。</w:t>
      </w:r>
    </w:p>
    <w:p w14:paraId="6948945E">
      <w:pPr>
        <w:spacing w:line="520" w:lineRule="exact"/>
        <w:ind w:firstLine="640" w:firstLineChars="200"/>
        <w:rPr>
          <w:rFonts w:eastAsia="仿宋_GB2312"/>
          <w:sz w:val="32"/>
          <w:szCs w:val="32"/>
        </w:rPr>
      </w:pPr>
      <w:r>
        <w:rPr>
          <w:rFonts w:eastAsia="仿宋_GB2312"/>
          <w:sz w:val="32"/>
          <w:szCs w:val="32"/>
        </w:rPr>
        <w:t>2. 针对产品临床检测性能进行的临床试验</w:t>
      </w:r>
    </w:p>
    <w:p w14:paraId="5ABF6A45">
      <w:pPr>
        <w:spacing w:line="520" w:lineRule="exact"/>
        <w:ind w:firstLine="640" w:firstLineChars="200"/>
        <w:rPr>
          <w:rFonts w:eastAsia="仿宋_GB2312"/>
          <w:sz w:val="32"/>
          <w:szCs w:val="32"/>
        </w:rPr>
      </w:pPr>
      <w:r>
        <w:rPr>
          <w:rFonts w:eastAsia="仿宋_GB2312"/>
          <w:sz w:val="32"/>
          <w:szCs w:val="32"/>
        </w:rPr>
        <w:t>仅说明该类试剂临床试验中应关注的重点问题。</w:t>
      </w:r>
    </w:p>
    <w:p w14:paraId="5ADF7497">
      <w:pPr>
        <w:spacing w:line="520" w:lineRule="exact"/>
        <w:ind w:firstLine="640" w:firstLineChars="200"/>
        <w:rPr>
          <w:rFonts w:eastAsia="仿宋_GB2312"/>
          <w:sz w:val="32"/>
          <w:szCs w:val="32"/>
        </w:rPr>
      </w:pPr>
      <w:r>
        <w:rPr>
          <w:rFonts w:eastAsia="仿宋_GB2312"/>
          <w:sz w:val="32"/>
          <w:szCs w:val="32"/>
        </w:rPr>
        <w:t>2.1 临床试验机构</w:t>
      </w:r>
    </w:p>
    <w:p w14:paraId="5AC670EC">
      <w:pPr>
        <w:spacing w:line="520" w:lineRule="exact"/>
        <w:ind w:firstLine="640" w:firstLineChars="200"/>
        <w:rPr>
          <w:rFonts w:eastAsia="仿宋_GB2312"/>
          <w:sz w:val="32"/>
          <w:szCs w:val="32"/>
        </w:rPr>
      </w:pPr>
      <w:r>
        <w:rPr>
          <w:rFonts w:eastAsia="仿宋_GB2312"/>
          <w:sz w:val="32"/>
          <w:szCs w:val="32"/>
        </w:rPr>
        <w:t>临床试验应在不少于3家（含3家）、具备相应条件且按规定备案的医疗器械临床试验机构开展。</w:t>
      </w:r>
    </w:p>
    <w:p w14:paraId="03BF4183">
      <w:pPr>
        <w:spacing w:line="520" w:lineRule="exact"/>
        <w:ind w:firstLine="640" w:firstLineChars="200"/>
        <w:rPr>
          <w:rFonts w:eastAsia="仿宋_GB2312"/>
          <w:sz w:val="32"/>
          <w:szCs w:val="32"/>
        </w:rPr>
      </w:pPr>
      <w:r>
        <w:rPr>
          <w:rFonts w:eastAsia="仿宋_GB2312"/>
          <w:sz w:val="32"/>
          <w:szCs w:val="32"/>
        </w:rPr>
        <w:t>2.2 对比方法</w:t>
      </w:r>
    </w:p>
    <w:p w14:paraId="56ACC13A">
      <w:pPr>
        <w:spacing w:line="520" w:lineRule="exact"/>
        <w:ind w:firstLine="640" w:firstLineChars="200"/>
        <w:rPr>
          <w:rFonts w:eastAsia="仿宋_GB2312"/>
          <w:sz w:val="32"/>
          <w:szCs w:val="32"/>
        </w:rPr>
      </w:pPr>
      <w:r>
        <w:rPr>
          <w:rFonts w:eastAsia="仿宋_GB2312"/>
          <w:sz w:val="32"/>
          <w:szCs w:val="32"/>
        </w:rPr>
        <w:t>对于已有同类产品上市的试剂，可选择具有可比性的已上市同类产品或Sanger测序法作为对比方法。</w:t>
      </w:r>
    </w:p>
    <w:p w14:paraId="6D7C2910">
      <w:pPr>
        <w:spacing w:line="520" w:lineRule="exact"/>
        <w:ind w:firstLine="640" w:firstLineChars="200"/>
        <w:rPr>
          <w:rFonts w:eastAsia="仿宋_GB2312"/>
          <w:sz w:val="32"/>
          <w:szCs w:val="32"/>
        </w:rPr>
      </w:pPr>
      <w:r>
        <w:rPr>
          <w:rFonts w:eastAsia="仿宋_GB2312"/>
          <w:sz w:val="32"/>
          <w:szCs w:val="32"/>
        </w:rPr>
        <w:t>对于尚无已上市同类产品上市的试剂，可选择公认的参考方法（如：Sanger测序法）作为对比方法。</w:t>
      </w:r>
    </w:p>
    <w:p w14:paraId="70BAAEBB">
      <w:pPr>
        <w:spacing w:line="520" w:lineRule="exact"/>
        <w:ind w:firstLine="640" w:firstLineChars="200"/>
        <w:rPr>
          <w:rFonts w:eastAsia="仿宋_GB2312"/>
          <w:sz w:val="32"/>
          <w:szCs w:val="32"/>
        </w:rPr>
      </w:pPr>
      <w:r>
        <w:rPr>
          <w:rFonts w:eastAsia="仿宋_GB2312"/>
          <w:sz w:val="32"/>
          <w:szCs w:val="32"/>
        </w:rPr>
        <w:t>对比方法的可比性应关注：适用样本类型的可比性、预期用途（适用人群、所检基因变异及指导药物）的可比性以及产品性能指标的可比性等。</w:t>
      </w:r>
    </w:p>
    <w:p w14:paraId="0AC97483">
      <w:pPr>
        <w:spacing w:line="520" w:lineRule="exact"/>
        <w:ind w:firstLine="640" w:firstLineChars="200"/>
        <w:rPr>
          <w:rFonts w:eastAsia="仿宋_GB2312"/>
          <w:sz w:val="32"/>
          <w:szCs w:val="32"/>
        </w:rPr>
      </w:pPr>
      <w:r>
        <w:rPr>
          <w:rFonts w:eastAsia="仿宋_GB2312"/>
          <w:sz w:val="32"/>
          <w:szCs w:val="32"/>
        </w:rPr>
        <w:t>2.3 受试者选择</w:t>
      </w:r>
    </w:p>
    <w:p w14:paraId="5DCF5D6B">
      <w:pPr>
        <w:spacing w:line="520" w:lineRule="exact"/>
        <w:ind w:firstLine="640" w:firstLineChars="200"/>
        <w:rPr>
          <w:rFonts w:eastAsia="仿宋_GB2312"/>
          <w:sz w:val="32"/>
          <w:szCs w:val="32"/>
        </w:rPr>
      </w:pPr>
      <w:r>
        <w:rPr>
          <w:rFonts w:eastAsia="仿宋_GB2312"/>
          <w:sz w:val="32"/>
          <w:szCs w:val="32"/>
        </w:rPr>
        <w:t>临床试验的入组人群应来自试验体外诊断试剂的预期适用人群，并对适用人群具有良好的代表性。</w:t>
      </w:r>
    </w:p>
    <w:p w14:paraId="70156022">
      <w:pPr>
        <w:spacing w:line="520" w:lineRule="exact"/>
        <w:ind w:firstLine="640" w:firstLineChars="200"/>
        <w:rPr>
          <w:rFonts w:eastAsia="仿宋_GB2312"/>
          <w:sz w:val="32"/>
          <w:szCs w:val="32"/>
        </w:rPr>
      </w:pPr>
      <w:r>
        <w:rPr>
          <w:rFonts w:eastAsia="仿宋_GB2312"/>
          <w:sz w:val="32"/>
          <w:szCs w:val="32"/>
        </w:rPr>
        <w:t>2.4 样本类型</w:t>
      </w:r>
    </w:p>
    <w:p w14:paraId="16C76623">
      <w:pPr>
        <w:spacing w:line="520" w:lineRule="exact"/>
        <w:ind w:firstLine="636" w:firstLineChars="200"/>
        <w:rPr>
          <w:rFonts w:eastAsia="仿宋_GB2312"/>
          <w:spacing w:val="-1"/>
          <w:sz w:val="32"/>
          <w:szCs w:val="32"/>
        </w:rPr>
      </w:pPr>
      <w:r>
        <w:rPr>
          <w:rFonts w:eastAsia="仿宋_GB2312"/>
          <w:spacing w:val="-1"/>
          <w:sz w:val="32"/>
          <w:szCs w:val="32"/>
        </w:rPr>
        <w:t>适用样本类型一般为静脉抗凝全血，应采用相同样本类型的已上市同类产品或实验室参考方法进行比较研究。如产品同时适用于其他样本类型，可与相同样本类型的已上市同类产品或静脉全血样本的检测方法进行比较研究。</w:t>
      </w:r>
    </w:p>
    <w:p w14:paraId="071DB7DF">
      <w:pPr>
        <w:spacing w:line="520" w:lineRule="exact"/>
        <w:ind w:firstLine="636" w:firstLineChars="200"/>
        <w:rPr>
          <w:rFonts w:eastAsia="仿宋_GB2312"/>
          <w:spacing w:val="-1"/>
          <w:sz w:val="32"/>
          <w:szCs w:val="32"/>
        </w:rPr>
      </w:pPr>
      <w:r>
        <w:rPr>
          <w:rFonts w:eastAsia="仿宋_GB2312"/>
          <w:spacing w:val="-1"/>
          <w:sz w:val="32"/>
          <w:szCs w:val="32"/>
        </w:rPr>
        <w:t xml:space="preserve">临床试验中应为临床原始样本，不应直接采用提取的基因组DNA进行试验。临床样本的采集、处理、保存和提取等应同时满足申报产品说明书以及对比试剂说明书（如适用）的相关要求。 </w:t>
      </w:r>
    </w:p>
    <w:p w14:paraId="34B2A6D1">
      <w:pPr>
        <w:spacing w:line="520" w:lineRule="exact"/>
        <w:ind w:firstLine="640" w:firstLineChars="200"/>
        <w:rPr>
          <w:rFonts w:eastAsia="仿宋_GB2312"/>
          <w:sz w:val="32"/>
          <w:szCs w:val="32"/>
        </w:rPr>
      </w:pPr>
      <w:r>
        <w:rPr>
          <w:rFonts w:eastAsia="仿宋_GB2312"/>
          <w:sz w:val="32"/>
          <w:szCs w:val="32"/>
        </w:rPr>
        <w:t>2.5样本量</w:t>
      </w:r>
    </w:p>
    <w:p w14:paraId="47A41207">
      <w:pPr>
        <w:spacing w:line="520" w:lineRule="exact"/>
        <w:ind w:firstLine="636" w:firstLineChars="200"/>
        <w:rPr>
          <w:rFonts w:eastAsia="仿宋_GB2312"/>
          <w:spacing w:val="-1"/>
          <w:sz w:val="32"/>
          <w:szCs w:val="32"/>
        </w:rPr>
      </w:pPr>
      <w:bookmarkStart w:id="1" w:name="OLE_LINK1"/>
      <w:bookmarkStart w:id="2" w:name="OLE_LINK2"/>
      <w:r>
        <w:rPr>
          <w:rFonts w:eastAsia="仿宋_GB2312"/>
          <w:spacing w:val="-1"/>
          <w:sz w:val="32"/>
          <w:szCs w:val="32"/>
        </w:rPr>
        <w:t>对于能报告各种基因型的情况，原则上每个基因型都应有一定的例数，如果某种基因型非常少见，例如：纯合突变型少，那么杂合型和纯合突变型可以汇总统计。样本例数估算建议采用单组目标值法。</w:t>
      </w:r>
    </w:p>
    <w:bookmarkEnd w:id="1"/>
    <w:bookmarkEnd w:id="2"/>
    <w:p w14:paraId="7C6D2CF4">
      <w:pPr>
        <w:spacing w:line="520" w:lineRule="exact"/>
        <w:ind w:firstLine="636" w:firstLineChars="200"/>
        <w:contextualSpacing/>
        <w:rPr>
          <w:rFonts w:eastAsia="仿宋_GB2312"/>
          <w:spacing w:val="-1"/>
          <w:sz w:val="32"/>
          <w:szCs w:val="32"/>
        </w:rPr>
      </w:pPr>
      <w:r>
        <w:rPr>
          <w:rFonts w:eastAsia="仿宋_GB2312"/>
          <w:spacing w:val="-1"/>
          <w:sz w:val="32"/>
          <w:szCs w:val="32"/>
        </w:rPr>
        <w:t>如试验体外诊断试剂适用于多种样本类型，例如同时适用于静脉全血和口腔拭子等，临床试验应以静脉全血样本类型为主，不同样本类型的例数应分别满足统计学要求。</w:t>
      </w:r>
    </w:p>
    <w:p w14:paraId="2EC70BBC">
      <w:pPr>
        <w:spacing w:line="520" w:lineRule="exact"/>
        <w:ind w:firstLine="640" w:firstLineChars="200"/>
        <w:rPr>
          <w:rFonts w:eastAsia="仿宋_GB2312"/>
          <w:sz w:val="32"/>
          <w:szCs w:val="32"/>
        </w:rPr>
      </w:pPr>
      <w:r>
        <w:rPr>
          <w:rFonts w:eastAsia="仿宋_GB2312"/>
          <w:sz w:val="32"/>
          <w:szCs w:val="32"/>
        </w:rPr>
        <w:t>2.6 统计分析</w:t>
      </w:r>
    </w:p>
    <w:p w14:paraId="2322668C">
      <w:pPr>
        <w:spacing w:line="520" w:lineRule="exact"/>
        <w:ind w:firstLine="640" w:firstLineChars="200"/>
        <w:rPr>
          <w:rFonts w:eastAsia="仿宋_GB2312"/>
          <w:sz w:val="32"/>
          <w:szCs w:val="32"/>
        </w:rPr>
      </w:pPr>
      <w:r>
        <w:rPr>
          <w:rFonts w:eastAsia="仿宋_GB2312"/>
          <w:sz w:val="32"/>
          <w:szCs w:val="32"/>
        </w:rPr>
        <w:t>应对所入组人群进行人口学分析，包括性别、年龄、疾病类型和基因型例数总结等。</w:t>
      </w:r>
    </w:p>
    <w:p w14:paraId="5E621AE9">
      <w:pPr>
        <w:spacing w:line="520" w:lineRule="exact"/>
        <w:ind w:firstLine="640" w:firstLineChars="200"/>
        <w:rPr>
          <w:rFonts w:eastAsia="仿宋_GB2312"/>
          <w:sz w:val="32"/>
          <w:szCs w:val="32"/>
        </w:rPr>
      </w:pPr>
      <w:r>
        <w:rPr>
          <w:rFonts w:eastAsia="仿宋_GB2312"/>
          <w:sz w:val="32"/>
          <w:szCs w:val="32"/>
        </w:rPr>
        <w:t>针对每个变异位点，一般以3x3格表分别总结试验体外诊断试剂与对比方法的定性检测结果，计算两种方法的纯合突变型的符合率、杂合型符合率、野生型符合率、总符合率及相应的95%置信区间。针对不一致样本，应采用合理的方法进行确认，对不一致的原因综合进行分析。</w:t>
      </w:r>
    </w:p>
    <w:p w14:paraId="270557C8">
      <w:pPr>
        <w:spacing w:line="520" w:lineRule="exact"/>
        <w:ind w:firstLine="640" w:firstLineChars="200"/>
        <w:rPr>
          <w:rFonts w:eastAsia="仿宋_GB2312"/>
          <w:sz w:val="32"/>
          <w:szCs w:val="32"/>
        </w:rPr>
      </w:pPr>
      <w:r>
        <w:rPr>
          <w:rFonts w:eastAsia="仿宋_GB2312"/>
          <w:sz w:val="32"/>
          <w:szCs w:val="32"/>
        </w:rPr>
        <w:t>3. 针对产品临床意义（临床有效性）确认的临床证据</w:t>
      </w:r>
    </w:p>
    <w:p w14:paraId="2FBA9740">
      <w:pPr>
        <w:spacing w:line="520" w:lineRule="exact"/>
        <w:ind w:firstLine="640" w:firstLineChars="200"/>
        <w:contextualSpacing/>
        <w:rPr>
          <w:rFonts w:eastAsia="仿宋_GB2312"/>
          <w:sz w:val="32"/>
          <w:szCs w:val="32"/>
        </w:rPr>
      </w:pPr>
      <w:r>
        <w:rPr>
          <w:rFonts w:eastAsia="仿宋_GB2312"/>
          <w:sz w:val="32"/>
          <w:szCs w:val="32"/>
        </w:rPr>
        <w:t>3.1 针对已有同类产品上市的申报产品</w:t>
      </w:r>
    </w:p>
    <w:p w14:paraId="49A2A1C5">
      <w:pPr>
        <w:spacing w:line="520" w:lineRule="exact"/>
        <w:ind w:firstLine="640" w:firstLineChars="200"/>
        <w:contextualSpacing/>
        <w:rPr>
          <w:rFonts w:eastAsia="仿宋_GB2312"/>
          <w:sz w:val="32"/>
          <w:szCs w:val="32"/>
        </w:rPr>
      </w:pPr>
      <w:r>
        <w:rPr>
          <w:rFonts w:eastAsia="仿宋_GB2312"/>
          <w:sz w:val="32"/>
          <w:szCs w:val="32"/>
        </w:rPr>
        <w:t>对于已有同类产品上市的申报产品，可认为其临床意义已得到认可，无需再进行临床有效性的确认。</w:t>
      </w:r>
    </w:p>
    <w:p w14:paraId="0D97DA12">
      <w:pPr>
        <w:spacing w:line="520" w:lineRule="exact"/>
        <w:ind w:firstLine="640" w:firstLineChars="200"/>
        <w:contextualSpacing/>
        <w:rPr>
          <w:rFonts w:eastAsia="仿宋_GB2312"/>
          <w:sz w:val="32"/>
          <w:szCs w:val="32"/>
        </w:rPr>
      </w:pPr>
      <w:r>
        <w:rPr>
          <w:rFonts w:eastAsia="仿宋_GB2312"/>
          <w:sz w:val="32"/>
          <w:szCs w:val="32"/>
        </w:rPr>
        <w:t>3.2 针对无同类产品上市的申报产品</w:t>
      </w:r>
    </w:p>
    <w:p w14:paraId="3879D5EB">
      <w:pPr>
        <w:spacing w:line="520" w:lineRule="exact"/>
        <w:ind w:firstLine="640" w:firstLineChars="200"/>
        <w:contextualSpacing/>
        <w:rPr>
          <w:rFonts w:eastAsia="仿宋_GB2312"/>
          <w:sz w:val="32"/>
          <w:szCs w:val="32"/>
        </w:rPr>
      </w:pPr>
      <w:r>
        <w:rPr>
          <w:rFonts w:eastAsia="仿宋_GB2312"/>
          <w:sz w:val="32"/>
          <w:szCs w:val="32"/>
        </w:rPr>
        <w:t>3.2.1 如新变异位点与药物反应的关系已获业界认可、且在国内相关指南或国内药品说明书中已明确，原则上可认为其临床意义已得到认可，可提供上述文件证明其临床意义。</w:t>
      </w:r>
    </w:p>
    <w:p w14:paraId="6C009FBA">
      <w:pPr>
        <w:spacing w:line="520" w:lineRule="exact"/>
        <w:ind w:firstLine="640" w:firstLineChars="200"/>
        <w:contextualSpacing/>
        <w:rPr>
          <w:rFonts w:eastAsia="仿宋_GB2312"/>
          <w:sz w:val="32"/>
          <w:szCs w:val="32"/>
        </w:rPr>
      </w:pPr>
      <w:r>
        <w:rPr>
          <w:rFonts w:eastAsia="仿宋_GB2312"/>
          <w:sz w:val="32"/>
          <w:szCs w:val="32"/>
        </w:rPr>
        <w:t>3.2.2 如新变异位点与药物反应的关系已在国外药品说明书、国外相关指南或权威数据库中已明确，具有较高的证据级别（如涉及证据级别），且上述文件中引用的文献数据能够充分代表中国人群，或者药品获批的临床试验数据能够充分代表中国人群，原则上可认为其临床意义已得到认可，可提供上述文件证明其临床意义。</w:t>
      </w:r>
    </w:p>
    <w:p w14:paraId="45369994">
      <w:pPr>
        <w:spacing w:line="520" w:lineRule="exact"/>
        <w:ind w:firstLine="640" w:firstLineChars="200"/>
        <w:contextualSpacing/>
        <w:rPr>
          <w:rFonts w:eastAsia="仿宋_GB2312"/>
          <w:sz w:val="32"/>
          <w:szCs w:val="32"/>
        </w:rPr>
      </w:pPr>
      <w:r>
        <w:rPr>
          <w:rFonts w:eastAsia="仿宋_GB2312"/>
          <w:sz w:val="32"/>
          <w:szCs w:val="32"/>
        </w:rPr>
        <w:t>3.2.3 如新变异位点与药物反应的关系已在国外相关指南、权威数据库或国外药品说明书明确，并且具有较高的证据级别（如涉及证据级别），但上述文件涉及的相关数据不能充分代表中国人群，申请人应充分评价国内外人种的差异对变异位点与药物反应关系的影响，并提交基于中国人群的临床证据。</w:t>
      </w:r>
    </w:p>
    <w:p w14:paraId="1AD0ACCA">
      <w:pPr>
        <w:spacing w:line="520" w:lineRule="exact"/>
        <w:ind w:firstLine="640" w:firstLineChars="200"/>
        <w:contextualSpacing/>
        <w:rPr>
          <w:rFonts w:eastAsia="仿宋_GB2312"/>
          <w:sz w:val="32"/>
          <w:szCs w:val="32"/>
        </w:rPr>
      </w:pPr>
      <w:r>
        <w:rPr>
          <w:rFonts w:eastAsia="仿宋_GB2312"/>
          <w:sz w:val="32"/>
          <w:szCs w:val="32"/>
        </w:rPr>
        <w:t>3.2.4如新变异位点与药物反应的关系尚未在境内外指南、药品说明书和权威数据库等方面获得认可，申请人可通过临床试验证明变异位点与药物的关系。</w:t>
      </w:r>
    </w:p>
    <w:p w14:paraId="5450DAF0">
      <w:pPr>
        <w:spacing w:line="520" w:lineRule="exact"/>
        <w:ind w:firstLine="640" w:firstLineChars="200"/>
        <w:contextualSpacing/>
        <w:rPr>
          <w:rFonts w:eastAsia="仿宋_GB2312"/>
          <w:sz w:val="32"/>
          <w:szCs w:val="32"/>
        </w:rPr>
      </w:pPr>
      <w:r>
        <w:rPr>
          <w:rFonts w:eastAsia="仿宋_GB2312"/>
          <w:sz w:val="32"/>
          <w:szCs w:val="32"/>
        </w:rPr>
        <w:t>4. 涉及临床试验时的临床试验方案、小结和报告</w:t>
      </w:r>
    </w:p>
    <w:p w14:paraId="65971336">
      <w:pPr>
        <w:spacing w:line="520" w:lineRule="exact"/>
        <w:ind w:firstLine="640" w:firstLineChars="200"/>
        <w:rPr>
          <w:rFonts w:eastAsia="仿宋_GB2312"/>
          <w:sz w:val="32"/>
          <w:szCs w:val="32"/>
        </w:rPr>
      </w:pPr>
      <w:r>
        <w:rPr>
          <w:rFonts w:eastAsia="仿宋_GB2312"/>
          <w:sz w:val="32"/>
          <w:szCs w:val="32"/>
        </w:rPr>
        <w:t>各临床试验机构应采用同一临床试验方案，并在整个临床试验过程中严格执行，不可随意改动。方案应对试验设计类型、对比方法选择、受试者选择、评价指标、统计分析方法、样本量估算和质量控制要求等做出明确的规定，并根据各临床试验机构情况合理确定样本量分配计划。</w:t>
      </w:r>
    </w:p>
    <w:p w14:paraId="294AC659">
      <w:pPr>
        <w:spacing w:line="520" w:lineRule="exact"/>
        <w:ind w:firstLine="640" w:firstLineChars="200"/>
        <w:rPr>
          <w:rFonts w:eastAsia="仿宋_GB2312"/>
          <w:sz w:val="32"/>
          <w:szCs w:val="32"/>
        </w:rPr>
      </w:pPr>
      <w:r>
        <w:rPr>
          <w:rFonts w:eastAsia="仿宋_GB2312"/>
          <w:sz w:val="32"/>
          <w:szCs w:val="32"/>
        </w:rPr>
        <w:t>各临床试验机构应对临床试验数据和实施情况进行总结，出具临床试验小结。</w:t>
      </w:r>
    </w:p>
    <w:p w14:paraId="6B446574">
      <w:pPr>
        <w:spacing w:line="520" w:lineRule="exact"/>
        <w:ind w:firstLine="640" w:firstLineChars="200"/>
        <w:rPr>
          <w:rFonts w:eastAsia="仿宋_GB2312"/>
          <w:sz w:val="32"/>
          <w:szCs w:val="32"/>
        </w:rPr>
      </w:pPr>
      <w:r>
        <w:rPr>
          <w:rFonts w:eastAsia="仿宋_GB2312"/>
          <w:sz w:val="32"/>
          <w:szCs w:val="32"/>
        </w:rPr>
        <w:t>临床试验报告应对整体临床试验实施过程、结果分析、试验结论等进行条理分明的描述，并应包括必要的数据和统计分析方法，最后得出临床试验结论。临床试验报告的撰写参考《体外诊断试剂临床试验技术指导原则》的相关要求。</w:t>
      </w:r>
    </w:p>
    <w:p w14:paraId="0DE05EA9">
      <w:pPr>
        <w:spacing w:line="520" w:lineRule="exact"/>
        <w:ind w:firstLine="640" w:firstLineChars="200"/>
        <w:rPr>
          <w:rFonts w:eastAsia="仿宋_GB2312"/>
          <w:sz w:val="32"/>
          <w:szCs w:val="32"/>
        </w:rPr>
      </w:pPr>
      <w:r>
        <w:rPr>
          <w:rFonts w:eastAsia="仿宋_GB2312"/>
          <w:sz w:val="32"/>
          <w:szCs w:val="32"/>
        </w:rPr>
        <w:t>数据汇总表中应提供唯一可溯源的受试者编号、样本编号、基本人口学信息（性别、年龄等）、临床诊断背景信息、疾病类型、试验体外诊断试剂及对比方法的检测结果等信息。</w:t>
      </w:r>
    </w:p>
    <w:p w14:paraId="7B5477F9">
      <w:pPr>
        <w:spacing w:line="520" w:lineRule="exact"/>
        <w:ind w:firstLine="640" w:firstLineChars="200"/>
        <w:rPr>
          <w:rFonts w:eastAsia="仿宋_GB2312"/>
          <w:sz w:val="32"/>
          <w:szCs w:val="32"/>
        </w:rPr>
      </w:pPr>
      <w:r>
        <w:rPr>
          <w:rFonts w:eastAsia="仿宋_GB2312"/>
          <w:sz w:val="32"/>
          <w:szCs w:val="32"/>
        </w:rPr>
        <w:t>如涉及委托第三方机构进行参考方法检测的，应提供临床试验机构与第三方机构签订的委托协议。同时应提供参考方法的详细资料，如：方法原理、所需试剂及仪器、参考方法的性能验证、参考方法质控、典型的试验图谱及数据等。上述资料应由临床试验机构签章确认。</w:t>
      </w:r>
    </w:p>
    <w:p w14:paraId="2C48FEE0">
      <w:pPr>
        <w:spacing w:line="520" w:lineRule="exact"/>
        <w:ind w:firstLine="640" w:firstLineChars="200"/>
        <w:contextualSpacing/>
        <w:rPr>
          <w:rFonts w:eastAsia="黑体"/>
          <w:sz w:val="32"/>
          <w:szCs w:val="32"/>
        </w:rPr>
      </w:pPr>
      <w:r>
        <w:rPr>
          <w:rFonts w:eastAsia="黑体"/>
          <w:sz w:val="32"/>
          <w:szCs w:val="32"/>
        </w:rPr>
        <w:t>三、参考文献</w:t>
      </w:r>
    </w:p>
    <w:p w14:paraId="49B76D5F">
      <w:pPr>
        <w:spacing w:line="520" w:lineRule="exact"/>
        <w:ind w:firstLine="640" w:firstLineChars="200"/>
        <w:rPr>
          <w:rFonts w:eastAsia="仿宋_GB2312"/>
          <w:sz w:val="32"/>
          <w:szCs w:val="32"/>
        </w:rPr>
      </w:pPr>
      <w:r>
        <w:rPr>
          <w:rFonts w:eastAsia="仿宋_GB2312"/>
          <w:sz w:val="32"/>
          <w:szCs w:val="32"/>
        </w:rPr>
        <w:t xml:space="preserve">[1]国家市场监督管理总局.体外诊断试剂注册与备案管理办法: 国家市场监督管理总局令第48号[Z]. </w:t>
      </w:r>
    </w:p>
    <w:p w14:paraId="6AB8013C">
      <w:pPr>
        <w:spacing w:line="520" w:lineRule="exact"/>
        <w:ind w:firstLine="640" w:firstLineChars="200"/>
        <w:rPr>
          <w:rFonts w:eastAsia="仿宋_GB2312"/>
          <w:sz w:val="32"/>
          <w:szCs w:val="32"/>
        </w:rPr>
      </w:pPr>
      <w:r>
        <w:rPr>
          <w:rFonts w:eastAsia="仿宋_GB2312"/>
          <w:sz w:val="32"/>
          <w:szCs w:val="32"/>
        </w:rPr>
        <w:t>[2]国家药品监督管理局.关于公布体外诊断试剂注册申报资料要求和批准证明文件格式的公告:国家药品监督管理局2021年第122号[Z].</w:t>
      </w:r>
    </w:p>
    <w:p w14:paraId="4F365560">
      <w:pPr>
        <w:spacing w:line="520" w:lineRule="exact"/>
        <w:ind w:firstLine="640" w:firstLineChars="200"/>
        <w:rPr>
          <w:rFonts w:eastAsia="仿宋_GB2312"/>
          <w:sz w:val="32"/>
          <w:szCs w:val="32"/>
        </w:rPr>
      </w:pPr>
      <w:r>
        <w:rPr>
          <w:rFonts w:eastAsia="仿宋_GB2312"/>
          <w:sz w:val="32"/>
          <w:szCs w:val="32"/>
        </w:rPr>
        <w:t>[3]国家药品监督管理局 国家卫生健康委员会.医疗器械临床试验质量管理规范.国家药品监督管理局 国家卫生健康委员会2022年第28号[Z].</w:t>
      </w:r>
    </w:p>
    <w:p w14:paraId="1282D9BA">
      <w:pPr>
        <w:spacing w:line="520" w:lineRule="exact"/>
        <w:ind w:firstLine="640" w:firstLineChars="200"/>
        <w:rPr>
          <w:rFonts w:eastAsia="仿宋_GB2312"/>
          <w:sz w:val="32"/>
          <w:szCs w:val="32"/>
        </w:rPr>
      </w:pPr>
      <w:r>
        <w:rPr>
          <w:rFonts w:eastAsia="仿宋_GB2312"/>
          <w:sz w:val="32"/>
          <w:szCs w:val="32"/>
        </w:rPr>
        <w:t>[4]国家药品监督管理局.体外诊断试剂临床试验技术指导原则：国家药品监督管理局2021年第72号[Z].</w:t>
      </w:r>
    </w:p>
    <w:sectPr>
      <w:footerReference r:id="rId5" w:type="first"/>
      <w:footerReference r:id="rId3" w:type="default"/>
      <w:footerReference r:id="rId4" w:type="even"/>
      <w:pgSz w:w="11906" w:h="16838"/>
      <w:pgMar w:top="1701" w:right="1588" w:bottom="1701" w:left="1588" w:header="851"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Tunga">
    <w:panose1 w:val="020B0502040204020203"/>
    <w:charset w:val="00"/>
    <w:family w:val="swiss"/>
    <w:pitch w:val="default"/>
    <w:sig w:usb0="00400003"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FC542">
    <w:pPr>
      <w:pStyle w:val="6"/>
      <w:wordWrap w:val="0"/>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AF771">
    <w:pPr>
      <w:pStyle w:val="6"/>
      <w:ind w:right="36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8</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2ECC6">
    <w:pPr>
      <w:pStyle w:val="6"/>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B3A72"/>
    <w:multiLevelType w:val="multilevel"/>
    <w:tmpl w:val="08FB3A7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iNDNhNGQyZTY2YjQ1ZjA4NTA4MTFkOTkzZmI3ZmUifQ=="/>
  </w:docVars>
  <w:rsids>
    <w:rsidRoot w:val="00172A27"/>
    <w:rsid w:val="000005CF"/>
    <w:rsid w:val="00000CA8"/>
    <w:rsid w:val="00002791"/>
    <w:rsid w:val="000035AA"/>
    <w:rsid w:val="00006A75"/>
    <w:rsid w:val="00012FC3"/>
    <w:rsid w:val="000164CE"/>
    <w:rsid w:val="00016D27"/>
    <w:rsid w:val="00016E93"/>
    <w:rsid w:val="000207F5"/>
    <w:rsid w:val="00020A13"/>
    <w:rsid w:val="00021186"/>
    <w:rsid w:val="000221A0"/>
    <w:rsid w:val="0002341A"/>
    <w:rsid w:val="00024DBA"/>
    <w:rsid w:val="00024F2F"/>
    <w:rsid w:val="0002574F"/>
    <w:rsid w:val="00025C2E"/>
    <w:rsid w:val="000304AB"/>
    <w:rsid w:val="00031876"/>
    <w:rsid w:val="00031DF9"/>
    <w:rsid w:val="0003205C"/>
    <w:rsid w:val="000320E2"/>
    <w:rsid w:val="00035514"/>
    <w:rsid w:val="000377F8"/>
    <w:rsid w:val="00040BF4"/>
    <w:rsid w:val="00044DA2"/>
    <w:rsid w:val="00051EB1"/>
    <w:rsid w:val="00052CE9"/>
    <w:rsid w:val="00053143"/>
    <w:rsid w:val="00055E51"/>
    <w:rsid w:val="00060BCB"/>
    <w:rsid w:val="00060C17"/>
    <w:rsid w:val="00061834"/>
    <w:rsid w:val="000626AA"/>
    <w:rsid w:val="00066B91"/>
    <w:rsid w:val="00071507"/>
    <w:rsid w:val="0007451F"/>
    <w:rsid w:val="0007458B"/>
    <w:rsid w:val="000757CC"/>
    <w:rsid w:val="0007659C"/>
    <w:rsid w:val="00080D16"/>
    <w:rsid w:val="00081670"/>
    <w:rsid w:val="000869AA"/>
    <w:rsid w:val="00086CC3"/>
    <w:rsid w:val="00086E39"/>
    <w:rsid w:val="00087A0C"/>
    <w:rsid w:val="0009192B"/>
    <w:rsid w:val="00093BDF"/>
    <w:rsid w:val="00093D85"/>
    <w:rsid w:val="0009699F"/>
    <w:rsid w:val="00096CDD"/>
    <w:rsid w:val="000A009F"/>
    <w:rsid w:val="000A2989"/>
    <w:rsid w:val="000A722F"/>
    <w:rsid w:val="000B1917"/>
    <w:rsid w:val="000B698D"/>
    <w:rsid w:val="000C1002"/>
    <w:rsid w:val="000C17D5"/>
    <w:rsid w:val="000C1C4B"/>
    <w:rsid w:val="000C5A9F"/>
    <w:rsid w:val="000C5E52"/>
    <w:rsid w:val="000C7229"/>
    <w:rsid w:val="000D0444"/>
    <w:rsid w:val="000D0DA5"/>
    <w:rsid w:val="000D3FA6"/>
    <w:rsid w:val="000D4718"/>
    <w:rsid w:val="000D6300"/>
    <w:rsid w:val="000D6F5D"/>
    <w:rsid w:val="000D71F4"/>
    <w:rsid w:val="000D79B7"/>
    <w:rsid w:val="000E0170"/>
    <w:rsid w:val="000E19B7"/>
    <w:rsid w:val="000E2CF2"/>
    <w:rsid w:val="000E3415"/>
    <w:rsid w:val="000E3837"/>
    <w:rsid w:val="000E4B62"/>
    <w:rsid w:val="000E53F2"/>
    <w:rsid w:val="000F17A4"/>
    <w:rsid w:val="000F1FAE"/>
    <w:rsid w:val="000F2E99"/>
    <w:rsid w:val="000F30D7"/>
    <w:rsid w:val="000F46E9"/>
    <w:rsid w:val="000F7A13"/>
    <w:rsid w:val="001000B3"/>
    <w:rsid w:val="00101F08"/>
    <w:rsid w:val="001029D7"/>
    <w:rsid w:val="001041CE"/>
    <w:rsid w:val="001065E9"/>
    <w:rsid w:val="00107AC5"/>
    <w:rsid w:val="001115B5"/>
    <w:rsid w:val="00111C64"/>
    <w:rsid w:val="00111D5E"/>
    <w:rsid w:val="001133B2"/>
    <w:rsid w:val="00113A99"/>
    <w:rsid w:val="00113E54"/>
    <w:rsid w:val="00115D9F"/>
    <w:rsid w:val="0011615D"/>
    <w:rsid w:val="0011617F"/>
    <w:rsid w:val="0012190C"/>
    <w:rsid w:val="0012363E"/>
    <w:rsid w:val="00125E2B"/>
    <w:rsid w:val="00126A60"/>
    <w:rsid w:val="00127AD8"/>
    <w:rsid w:val="00127D58"/>
    <w:rsid w:val="00130E58"/>
    <w:rsid w:val="001314DD"/>
    <w:rsid w:val="00132BBB"/>
    <w:rsid w:val="00133BA3"/>
    <w:rsid w:val="0013630D"/>
    <w:rsid w:val="001425F4"/>
    <w:rsid w:val="00142D8B"/>
    <w:rsid w:val="001443DD"/>
    <w:rsid w:val="0014454B"/>
    <w:rsid w:val="001449EB"/>
    <w:rsid w:val="00144FBC"/>
    <w:rsid w:val="001506E0"/>
    <w:rsid w:val="00151744"/>
    <w:rsid w:val="001528B5"/>
    <w:rsid w:val="00152CDB"/>
    <w:rsid w:val="00152E45"/>
    <w:rsid w:val="00153D0A"/>
    <w:rsid w:val="001550D7"/>
    <w:rsid w:val="00155F08"/>
    <w:rsid w:val="00156108"/>
    <w:rsid w:val="00157D65"/>
    <w:rsid w:val="0016049E"/>
    <w:rsid w:val="00160721"/>
    <w:rsid w:val="001631CE"/>
    <w:rsid w:val="00163CD8"/>
    <w:rsid w:val="001656DD"/>
    <w:rsid w:val="00165928"/>
    <w:rsid w:val="00167D3C"/>
    <w:rsid w:val="00170CFD"/>
    <w:rsid w:val="00172A27"/>
    <w:rsid w:val="00174D29"/>
    <w:rsid w:val="00175A66"/>
    <w:rsid w:val="00176C07"/>
    <w:rsid w:val="00177BFA"/>
    <w:rsid w:val="001804BB"/>
    <w:rsid w:val="0018184B"/>
    <w:rsid w:val="00185186"/>
    <w:rsid w:val="0018592F"/>
    <w:rsid w:val="00186786"/>
    <w:rsid w:val="00187D28"/>
    <w:rsid w:val="00196B85"/>
    <w:rsid w:val="00197F05"/>
    <w:rsid w:val="001A1B0C"/>
    <w:rsid w:val="001A27EF"/>
    <w:rsid w:val="001A3A80"/>
    <w:rsid w:val="001A42E4"/>
    <w:rsid w:val="001A658E"/>
    <w:rsid w:val="001A7178"/>
    <w:rsid w:val="001B03AC"/>
    <w:rsid w:val="001B11DF"/>
    <w:rsid w:val="001B2A34"/>
    <w:rsid w:val="001B2EEB"/>
    <w:rsid w:val="001C0CC6"/>
    <w:rsid w:val="001C492C"/>
    <w:rsid w:val="001C509B"/>
    <w:rsid w:val="001C5188"/>
    <w:rsid w:val="001C5CDC"/>
    <w:rsid w:val="001C6716"/>
    <w:rsid w:val="001C7254"/>
    <w:rsid w:val="001C73A9"/>
    <w:rsid w:val="001C7E45"/>
    <w:rsid w:val="001D02DD"/>
    <w:rsid w:val="001D18B5"/>
    <w:rsid w:val="001D256A"/>
    <w:rsid w:val="001D47CC"/>
    <w:rsid w:val="001D6A2A"/>
    <w:rsid w:val="001D7271"/>
    <w:rsid w:val="001D72E9"/>
    <w:rsid w:val="001E33D3"/>
    <w:rsid w:val="001E34CC"/>
    <w:rsid w:val="001E3F45"/>
    <w:rsid w:val="001E61E2"/>
    <w:rsid w:val="001E642C"/>
    <w:rsid w:val="001E6AB8"/>
    <w:rsid w:val="001F1104"/>
    <w:rsid w:val="001F26F5"/>
    <w:rsid w:val="001F3EEA"/>
    <w:rsid w:val="001F3FB0"/>
    <w:rsid w:val="001F4FFD"/>
    <w:rsid w:val="001F52EF"/>
    <w:rsid w:val="001F7720"/>
    <w:rsid w:val="002019D9"/>
    <w:rsid w:val="00201CA9"/>
    <w:rsid w:val="00204B69"/>
    <w:rsid w:val="002056F7"/>
    <w:rsid w:val="0021214B"/>
    <w:rsid w:val="00212D7A"/>
    <w:rsid w:val="00213E5C"/>
    <w:rsid w:val="00214F56"/>
    <w:rsid w:val="00217F21"/>
    <w:rsid w:val="00221D55"/>
    <w:rsid w:val="0022337E"/>
    <w:rsid w:val="00224D24"/>
    <w:rsid w:val="0022622B"/>
    <w:rsid w:val="00226D9D"/>
    <w:rsid w:val="0023276E"/>
    <w:rsid w:val="0023301F"/>
    <w:rsid w:val="002376A7"/>
    <w:rsid w:val="00240515"/>
    <w:rsid w:val="0024079B"/>
    <w:rsid w:val="00240FA1"/>
    <w:rsid w:val="00241143"/>
    <w:rsid w:val="002444DA"/>
    <w:rsid w:val="00245CBF"/>
    <w:rsid w:val="00247C71"/>
    <w:rsid w:val="00247F9A"/>
    <w:rsid w:val="00251B28"/>
    <w:rsid w:val="00251C0A"/>
    <w:rsid w:val="0025343E"/>
    <w:rsid w:val="00253B38"/>
    <w:rsid w:val="0025473D"/>
    <w:rsid w:val="00261106"/>
    <w:rsid w:val="00261348"/>
    <w:rsid w:val="00261393"/>
    <w:rsid w:val="00263A83"/>
    <w:rsid w:val="00263D12"/>
    <w:rsid w:val="0026418E"/>
    <w:rsid w:val="002645BD"/>
    <w:rsid w:val="002667F8"/>
    <w:rsid w:val="00266829"/>
    <w:rsid w:val="00266959"/>
    <w:rsid w:val="0026721C"/>
    <w:rsid w:val="00267F71"/>
    <w:rsid w:val="00270BA4"/>
    <w:rsid w:val="002715EA"/>
    <w:rsid w:val="00273473"/>
    <w:rsid w:val="0027500F"/>
    <w:rsid w:val="00276A53"/>
    <w:rsid w:val="002772EC"/>
    <w:rsid w:val="00277524"/>
    <w:rsid w:val="00277D15"/>
    <w:rsid w:val="00282368"/>
    <w:rsid w:val="00284E24"/>
    <w:rsid w:val="00285BEC"/>
    <w:rsid w:val="00285C99"/>
    <w:rsid w:val="00285F14"/>
    <w:rsid w:val="00290179"/>
    <w:rsid w:val="00290D67"/>
    <w:rsid w:val="002945E8"/>
    <w:rsid w:val="00294700"/>
    <w:rsid w:val="00297DE3"/>
    <w:rsid w:val="002A29DE"/>
    <w:rsid w:val="002A3E91"/>
    <w:rsid w:val="002A420A"/>
    <w:rsid w:val="002A510C"/>
    <w:rsid w:val="002A6532"/>
    <w:rsid w:val="002A7F53"/>
    <w:rsid w:val="002B28D3"/>
    <w:rsid w:val="002B298C"/>
    <w:rsid w:val="002B34A8"/>
    <w:rsid w:val="002B46DB"/>
    <w:rsid w:val="002B62AF"/>
    <w:rsid w:val="002B6795"/>
    <w:rsid w:val="002B6FA2"/>
    <w:rsid w:val="002B7643"/>
    <w:rsid w:val="002C0535"/>
    <w:rsid w:val="002C1B8C"/>
    <w:rsid w:val="002C2746"/>
    <w:rsid w:val="002C3E8B"/>
    <w:rsid w:val="002C4676"/>
    <w:rsid w:val="002C5C83"/>
    <w:rsid w:val="002C68EB"/>
    <w:rsid w:val="002C6B55"/>
    <w:rsid w:val="002C77E4"/>
    <w:rsid w:val="002C7B65"/>
    <w:rsid w:val="002D33AE"/>
    <w:rsid w:val="002D4044"/>
    <w:rsid w:val="002D40C5"/>
    <w:rsid w:val="002D4C8B"/>
    <w:rsid w:val="002D508C"/>
    <w:rsid w:val="002D5554"/>
    <w:rsid w:val="002D5841"/>
    <w:rsid w:val="002D6836"/>
    <w:rsid w:val="002E3D22"/>
    <w:rsid w:val="002E5EBA"/>
    <w:rsid w:val="002E6FE3"/>
    <w:rsid w:val="002E7069"/>
    <w:rsid w:val="002F2BC8"/>
    <w:rsid w:val="002F2CC3"/>
    <w:rsid w:val="002F2EC6"/>
    <w:rsid w:val="002F3AB3"/>
    <w:rsid w:val="002F4686"/>
    <w:rsid w:val="002F480F"/>
    <w:rsid w:val="002F595B"/>
    <w:rsid w:val="002F5D2E"/>
    <w:rsid w:val="002F61DE"/>
    <w:rsid w:val="00300484"/>
    <w:rsid w:val="0030150B"/>
    <w:rsid w:val="003028A3"/>
    <w:rsid w:val="0030569F"/>
    <w:rsid w:val="00306FD3"/>
    <w:rsid w:val="00307D74"/>
    <w:rsid w:val="00312665"/>
    <w:rsid w:val="00316211"/>
    <w:rsid w:val="003178C9"/>
    <w:rsid w:val="00321245"/>
    <w:rsid w:val="003213A1"/>
    <w:rsid w:val="0032176E"/>
    <w:rsid w:val="00323E88"/>
    <w:rsid w:val="00324742"/>
    <w:rsid w:val="00325CF1"/>
    <w:rsid w:val="00327397"/>
    <w:rsid w:val="00330BDA"/>
    <w:rsid w:val="00330CB5"/>
    <w:rsid w:val="00331091"/>
    <w:rsid w:val="0033203E"/>
    <w:rsid w:val="00332E8E"/>
    <w:rsid w:val="003330A7"/>
    <w:rsid w:val="00333591"/>
    <w:rsid w:val="00335EAF"/>
    <w:rsid w:val="003402ED"/>
    <w:rsid w:val="00340BF2"/>
    <w:rsid w:val="003410E9"/>
    <w:rsid w:val="00343A87"/>
    <w:rsid w:val="0035031B"/>
    <w:rsid w:val="00351116"/>
    <w:rsid w:val="00352FFE"/>
    <w:rsid w:val="00353206"/>
    <w:rsid w:val="00354638"/>
    <w:rsid w:val="003546BE"/>
    <w:rsid w:val="003547C4"/>
    <w:rsid w:val="00354C49"/>
    <w:rsid w:val="00355C06"/>
    <w:rsid w:val="0035796D"/>
    <w:rsid w:val="00361284"/>
    <w:rsid w:val="0036134D"/>
    <w:rsid w:val="0036326B"/>
    <w:rsid w:val="0036372B"/>
    <w:rsid w:val="00364813"/>
    <w:rsid w:val="00364CEA"/>
    <w:rsid w:val="00365338"/>
    <w:rsid w:val="00365CFD"/>
    <w:rsid w:val="00366307"/>
    <w:rsid w:val="003707D5"/>
    <w:rsid w:val="003733C8"/>
    <w:rsid w:val="003738E2"/>
    <w:rsid w:val="00375D83"/>
    <w:rsid w:val="00376724"/>
    <w:rsid w:val="003777DF"/>
    <w:rsid w:val="003803D5"/>
    <w:rsid w:val="0038165C"/>
    <w:rsid w:val="003818F8"/>
    <w:rsid w:val="003823F8"/>
    <w:rsid w:val="0038289A"/>
    <w:rsid w:val="00383F83"/>
    <w:rsid w:val="00384FF6"/>
    <w:rsid w:val="00386EA4"/>
    <w:rsid w:val="00392223"/>
    <w:rsid w:val="003926A3"/>
    <w:rsid w:val="00394738"/>
    <w:rsid w:val="0039506B"/>
    <w:rsid w:val="00396EA8"/>
    <w:rsid w:val="00397DE7"/>
    <w:rsid w:val="003A18E5"/>
    <w:rsid w:val="003A2442"/>
    <w:rsid w:val="003A4898"/>
    <w:rsid w:val="003A5517"/>
    <w:rsid w:val="003A62B7"/>
    <w:rsid w:val="003A641E"/>
    <w:rsid w:val="003A7BF4"/>
    <w:rsid w:val="003B155A"/>
    <w:rsid w:val="003B2EB1"/>
    <w:rsid w:val="003B3D4C"/>
    <w:rsid w:val="003B452F"/>
    <w:rsid w:val="003B515C"/>
    <w:rsid w:val="003B6765"/>
    <w:rsid w:val="003B6D2D"/>
    <w:rsid w:val="003B7ED1"/>
    <w:rsid w:val="003B7F20"/>
    <w:rsid w:val="003C051D"/>
    <w:rsid w:val="003C0926"/>
    <w:rsid w:val="003C16AE"/>
    <w:rsid w:val="003C27F7"/>
    <w:rsid w:val="003C2D0B"/>
    <w:rsid w:val="003C2FA0"/>
    <w:rsid w:val="003C4A36"/>
    <w:rsid w:val="003C540C"/>
    <w:rsid w:val="003C5CC3"/>
    <w:rsid w:val="003C78A8"/>
    <w:rsid w:val="003D08E2"/>
    <w:rsid w:val="003D18EC"/>
    <w:rsid w:val="003D24D6"/>
    <w:rsid w:val="003D3DBA"/>
    <w:rsid w:val="003D43D1"/>
    <w:rsid w:val="003D4AD9"/>
    <w:rsid w:val="003D762C"/>
    <w:rsid w:val="003D7FEE"/>
    <w:rsid w:val="003E0BE0"/>
    <w:rsid w:val="003E2822"/>
    <w:rsid w:val="003E2977"/>
    <w:rsid w:val="003E656C"/>
    <w:rsid w:val="003E7CB8"/>
    <w:rsid w:val="003F0457"/>
    <w:rsid w:val="003F1FE8"/>
    <w:rsid w:val="003F28CA"/>
    <w:rsid w:val="003F2F1B"/>
    <w:rsid w:val="003F5772"/>
    <w:rsid w:val="003F5843"/>
    <w:rsid w:val="003F5C04"/>
    <w:rsid w:val="003F6766"/>
    <w:rsid w:val="00400FD5"/>
    <w:rsid w:val="004022A1"/>
    <w:rsid w:val="00404ABC"/>
    <w:rsid w:val="00405AE4"/>
    <w:rsid w:val="004074C4"/>
    <w:rsid w:val="00411C12"/>
    <w:rsid w:val="0041203A"/>
    <w:rsid w:val="00415D78"/>
    <w:rsid w:val="0042123B"/>
    <w:rsid w:val="0042133C"/>
    <w:rsid w:val="004218DC"/>
    <w:rsid w:val="0042195B"/>
    <w:rsid w:val="004256DC"/>
    <w:rsid w:val="004259A4"/>
    <w:rsid w:val="004263EA"/>
    <w:rsid w:val="00426D4E"/>
    <w:rsid w:val="004319C3"/>
    <w:rsid w:val="00432E4F"/>
    <w:rsid w:val="0043370E"/>
    <w:rsid w:val="00433D05"/>
    <w:rsid w:val="0043406F"/>
    <w:rsid w:val="00434895"/>
    <w:rsid w:val="0043528C"/>
    <w:rsid w:val="00441E13"/>
    <w:rsid w:val="00447D2A"/>
    <w:rsid w:val="00451AA7"/>
    <w:rsid w:val="00453B18"/>
    <w:rsid w:val="00455D21"/>
    <w:rsid w:val="0045648C"/>
    <w:rsid w:val="00457FB2"/>
    <w:rsid w:val="004608F6"/>
    <w:rsid w:val="00460B00"/>
    <w:rsid w:val="004622EF"/>
    <w:rsid w:val="004740B8"/>
    <w:rsid w:val="004746DB"/>
    <w:rsid w:val="00474A25"/>
    <w:rsid w:val="00475EC2"/>
    <w:rsid w:val="004775A7"/>
    <w:rsid w:val="00477902"/>
    <w:rsid w:val="0047794E"/>
    <w:rsid w:val="00481E81"/>
    <w:rsid w:val="0048201D"/>
    <w:rsid w:val="004850B8"/>
    <w:rsid w:val="00485E3F"/>
    <w:rsid w:val="00485E55"/>
    <w:rsid w:val="00490840"/>
    <w:rsid w:val="00491BDF"/>
    <w:rsid w:val="00492785"/>
    <w:rsid w:val="00492E34"/>
    <w:rsid w:val="004930F5"/>
    <w:rsid w:val="004944D3"/>
    <w:rsid w:val="00494A70"/>
    <w:rsid w:val="00494D47"/>
    <w:rsid w:val="00494FE1"/>
    <w:rsid w:val="00495969"/>
    <w:rsid w:val="00497D44"/>
    <w:rsid w:val="00497DEA"/>
    <w:rsid w:val="00497EC5"/>
    <w:rsid w:val="004A0C8A"/>
    <w:rsid w:val="004A30A8"/>
    <w:rsid w:val="004A48F4"/>
    <w:rsid w:val="004A5888"/>
    <w:rsid w:val="004B00F4"/>
    <w:rsid w:val="004B01AB"/>
    <w:rsid w:val="004B053C"/>
    <w:rsid w:val="004B0BC7"/>
    <w:rsid w:val="004B2F3E"/>
    <w:rsid w:val="004B30C1"/>
    <w:rsid w:val="004B321E"/>
    <w:rsid w:val="004B5C07"/>
    <w:rsid w:val="004B5CDA"/>
    <w:rsid w:val="004C0654"/>
    <w:rsid w:val="004C0694"/>
    <w:rsid w:val="004C129F"/>
    <w:rsid w:val="004C1528"/>
    <w:rsid w:val="004C22AF"/>
    <w:rsid w:val="004C23EC"/>
    <w:rsid w:val="004C48C9"/>
    <w:rsid w:val="004C4F8F"/>
    <w:rsid w:val="004C5902"/>
    <w:rsid w:val="004C7B00"/>
    <w:rsid w:val="004D02B9"/>
    <w:rsid w:val="004D105B"/>
    <w:rsid w:val="004D2330"/>
    <w:rsid w:val="004D346B"/>
    <w:rsid w:val="004D4C2F"/>
    <w:rsid w:val="004D7576"/>
    <w:rsid w:val="004E2277"/>
    <w:rsid w:val="004E3BE2"/>
    <w:rsid w:val="004E558C"/>
    <w:rsid w:val="004E6FF3"/>
    <w:rsid w:val="004E726C"/>
    <w:rsid w:val="004E72F3"/>
    <w:rsid w:val="004F1B27"/>
    <w:rsid w:val="004F27D3"/>
    <w:rsid w:val="004F7711"/>
    <w:rsid w:val="0050056D"/>
    <w:rsid w:val="0050232D"/>
    <w:rsid w:val="005025B5"/>
    <w:rsid w:val="00503287"/>
    <w:rsid w:val="00504A0D"/>
    <w:rsid w:val="0050586C"/>
    <w:rsid w:val="00506308"/>
    <w:rsid w:val="00511397"/>
    <w:rsid w:val="00512D2E"/>
    <w:rsid w:val="005130C6"/>
    <w:rsid w:val="005207A9"/>
    <w:rsid w:val="00523936"/>
    <w:rsid w:val="005245AB"/>
    <w:rsid w:val="005309AF"/>
    <w:rsid w:val="00531FAB"/>
    <w:rsid w:val="0053217F"/>
    <w:rsid w:val="00534361"/>
    <w:rsid w:val="00534A18"/>
    <w:rsid w:val="00534EDC"/>
    <w:rsid w:val="00535837"/>
    <w:rsid w:val="005368F5"/>
    <w:rsid w:val="005409B1"/>
    <w:rsid w:val="00540AD7"/>
    <w:rsid w:val="005410CE"/>
    <w:rsid w:val="005416C1"/>
    <w:rsid w:val="0054229C"/>
    <w:rsid w:val="00542C28"/>
    <w:rsid w:val="0054693B"/>
    <w:rsid w:val="0056324D"/>
    <w:rsid w:val="00564625"/>
    <w:rsid w:val="00564668"/>
    <w:rsid w:val="0056661D"/>
    <w:rsid w:val="005720FA"/>
    <w:rsid w:val="005723DC"/>
    <w:rsid w:val="0057297C"/>
    <w:rsid w:val="00573E01"/>
    <w:rsid w:val="00576406"/>
    <w:rsid w:val="00576692"/>
    <w:rsid w:val="005770E2"/>
    <w:rsid w:val="005804ED"/>
    <w:rsid w:val="00583628"/>
    <w:rsid w:val="00583B52"/>
    <w:rsid w:val="00585B05"/>
    <w:rsid w:val="00585F44"/>
    <w:rsid w:val="00586731"/>
    <w:rsid w:val="005876C3"/>
    <w:rsid w:val="00590CD1"/>
    <w:rsid w:val="00591925"/>
    <w:rsid w:val="00592277"/>
    <w:rsid w:val="00592387"/>
    <w:rsid w:val="00593C49"/>
    <w:rsid w:val="005960A2"/>
    <w:rsid w:val="00596358"/>
    <w:rsid w:val="00596960"/>
    <w:rsid w:val="005A21CC"/>
    <w:rsid w:val="005A3E67"/>
    <w:rsid w:val="005A4160"/>
    <w:rsid w:val="005A5420"/>
    <w:rsid w:val="005A7066"/>
    <w:rsid w:val="005B404F"/>
    <w:rsid w:val="005B5435"/>
    <w:rsid w:val="005B62FF"/>
    <w:rsid w:val="005B7736"/>
    <w:rsid w:val="005C201E"/>
    <w:rsid w:val="005C2849"/>
    <w:rsid w:val="005C3414"/>
    <w:rsid w:val="005C3768"/>
    <w:rsid w:val="005C45AC"/>
    <w:rsid w:val="005C48D1"/>
    <w:rsid w:val="005C49C7"/>
    <w:rsid w:val="005C605F"/>
    <w:rsid w:val="005C6085"/>
    <w:rsid w:val="005D20CB"/>
    <w:rsid w:val="005D2573"/>
    <w:rsid w:val="005D4515"/>
    <w:rsid w:val="005D559B"/>
    <w:rsid w:val="005D6B42"/>
    <w:rsid w:val="005D6B51"/>
    <w:rsid w:val="005D7D24"/>
    <w:rsid w:val="005E089B"/>
    <w:rsid w:val="005E0CF8"/>
    <w:rsid w:val="005E1506"/>
    <w:rsid w:val="005E23B2"/>
    <w:rsid w:val="005E2849"/>
    <w:rsid w:val="005E4A42"/>
    <w:rsid w:val="005E5F88"/>
    <w:rsid w:val="005E7595"/>
    <w:rsid w:val="005F0548"/>
    <w:rsid w:val="005F131A"/>
    <w:rsid w:val="005F4ADA"/>
    <w:rsid w:val="005F712C"/>
    <w:rsid w:val="005F7BDF"/>
    <w:rsid w:val="00600061"/>
    <w:rsid w:val="00600D8E"/>
    <w:rsid w:val="00601612"/>
    <w:rsid w:val="0060309A"/>
    <w:rsid w:val="0060493C"/>
    <w:rsid w:val="006052CA"/>
    <w:rsid w:val="00610944"/>
    <w:rsid w:val="00610B25"/>
    <w:rsid w:val="0061142E"/>
    <w:rsid w:val="006116D2"/>
    <w:rsid w:val="006118C1"/>
    <w:rsid w:val="00611B6B"/>
    <w:rsid w:val="00612531"/>
    <w:rsid w:val="00613475"/>
    <w:rsid w:val="006143E0"/>
    <w:rsid w:val="0062054B"/>
    <w:rsid w:val="00621F83"/>
    <w:rsid w:val="00622990"/>
    <w:rsid w:val="006236E9"/>
    <w:rsid w:val="00623F14"/>
    <w:rsid w:val="00624A96"/>
    <w:rsid w:val="0062653A"/>
    <w:rsid w:val="00626CE5"/>
    <w:rsid w:val="00626EE2"/>
    <w:rsid w:val="00630C8C"/>
    <w:rsid w:val="006314DA"/>
    <w:rsid w:val="00632518"/>
    <w:rsid w:val="00634035"/>
    <w:rsid w:val="0063446F"/>
    <w:rsid w:val="006351EB"/>
    <w:rsid w:val="0063573C"/>
    <w:rsid w:val="0064024A"/>
    <w:rsid w:val="006421E4"/>
    <w:rsid w:val="006428CA"/>
    <w:rsid w:val="006441C3"/>
    <w:rsid w:val="00644A3D"/>
    <w:rsid w:val="0064538F"/>
    <w:rsid w:val="0064681A"/>
    <w:rsid w:val="00646B7E"/>
    <w:rsid w:val="0065007F"/>
    <w:rsid w:val="00650756"/>
    <w:rsid w:val="006519EA"/>
    <w:rsid w:val="00651E41"/>
    <w:rsid w:val="00652EBA"/>
    <w:rsid w:val="00653C7E"/>
    <w:rsid w:val="00654545"/>
    <w:rsid w:val="00654899"/>
    <w:rsid w:val="00655009"/>
    <w:rsid w:val="00655C46"/>
    <w:rsid w:val="0065763E"/>
    <w:rsid w:val="006638F8"/>
    <w:rsid w:val="006644E6"/>
    <w:rsid w:val="00664B97"/>
    <w:rsid w:val="0066563B"/>
    <w:rsid w:val="00665FC5"/>
    <w:rsid w:val="00666F2B"/>
    <w:rsid w:val="00670388"/>
    <w:rsid w:val="0067038A"/>
    <w:rsid w:val="006721DC"/>
    <w:rsid w:val="0067220E"/>
    <w:rsid w:val="00673313"/>
    <w:rsid w:val="0067380A"/>
    <w:rsid w:val="00673A0E"/>
    <w:rsid w:val="00673EAB"/>
    <w:rsid w:val="00673F4A"/>
    <w:rsid w:val="00676B39"/>
    <w:rsid w:val="00681F15"/>
    <w:rsid w:val="00685E63"/>
    <w:rsid w:val="00686E50"/>
    <w:rsid w:val="00687A3B"/>
    <w:rsid w:val="00687B9D"/>
    <w:rsid w:val="00690209"/>
    <w:rsid w:val="00690D87"/>
    <w:rsid w:val="00691E47"/>
    <w:rsid w:val="006923CE"/>
    <w:rsid w:val="00693D7F"/>
    <w:rsid w:val="00694F37"/>
    <w:rsid w:val="00696AB1"/>
    <w:rsid w:val="006A0B78"/>
    <w:rsid w:val="006A2272"/>
    <w:rsid w:val="006A2B41"/>
    <w:rsid w:val="006A3B05"/>
    <w:rsid w:val="006A65C5"/>
    <w:rsid w:val="006B1B4C"/>
    <w:rsid w:val="006B50DE"/>
    <w:rsid w:val="006B57A0"/>
    <w:rsid w:val="006C06B0"/>
    <w:rsid w:val="006C0709"/>
    <w:rsid w:val="006C2B84"/>
    <w:rsid w:val="006C4F2B"/>
    <w:rsid w:val="006D083F"/>
    <w:rsid w:val="006D265E"/>
    <w:rsid w:val="006D3C3B"/>
    <w:rsid w:val="006D3D5E"/>
    <w:rsid w:val="006E0E17"/>
    <w:rsid w:val="006E13C4"/>
    <w:rsid w:val="006E1B31"/>
    <w:rsid w:val="006E5C91"/>
    <w:rsid w:val="006E6B4F"/>
    <w:rsid w:val="006F03B8"/>
    <w:rsid w:val="006F26BB"/>
    <w:rsid w:val="006F26D2"/>
    <w:rsid w:val="006F284C"/>
    <w:rsid w:val="006F2D51"/>
    <w:rsid w:val="006F34D2"/>
    <w:rsid w:val="006F3D2E"/>
    <w:rsid w:val="006F57ED"/>
    <w:rsid w:val="006F622B"/>
    <w:rsid w:val="00701547"/>
    <w:rsid w:val="00701D34"/>
    <w:rsid w:val="007026E8"/>
    <w:rsid w:val="00702725"/>
    <w:rsid w:val="00704B87"/>
    <w:rsid w:val="00707117"/>
    <w:rsid w:val="00710C0F"/>
    <w:rsid w:val="00711814"/>
    <w:rsid w:val="00711A48"/>
    <w:rsid w:val="00711BE0"/>
    <w:rsid w:val="00712339"/>
    <w:rsid w:val="00712BCA"/>
    <w:rsid w:val="00713ABE"/>
    <w:rsid w:val="007140B7"/>
    <w:rsid w:val="0071499C"/>
    <w:rsid w:val="00715E9F"/>
    <w:rsid w:val="00717762"/>
    <w:rsid w:val="00717ACC"/>
    <w:rsid w:val="00720073"/>
    <w:rsid w:val="007206D6"/>
    <w:rsid w:val="007208C3"/>
    <w:rsid w:val="00720C99"/>
    <w:rsid w:val="00721C11"/>
    <w:rsid w:val="00722110"/>
    <w:rsid w:val="00722205"/>
    <w:rsid w:val="00722D80"/>
    <w:rsid w:val="007231E6"/>
    <w:rsid w:val="00724FB4"/>
    <w:rsid w:val="00726E4F"/>
    <w:rsid w:val="007272F1"/>
    <w:rsid w:val="00727597"/>
    <w:rsid w:val="00727EF8"/>
    <w:rsid w:val="00730F51"/>
    <w:rsid w:val="007335E2"/>
    <w:rsid w:val="007343FA"/>
    <w:rsid w:val="00735046"/>
    <w:rsid w:val="00735A19"/>
    <w:rsid w:val="007362E5"/>
    <w:rsid w:val="00741EE0"/>
    <w:rsid w:val="007456EA"/>
    <w:rsid w:val="00750B65"/>
    <w:rsid w:val="007513F4"/>
    <w:rsid w:val="0075293B"/>
    <w:rsid w:val="00752A7E"/>
    <w:rsid w:val="00754D8D"/>
    <w:rsid w:val="0075529D"/>
    <w:rsid w:val="007614DD"/>
    <w:rsid w:val="00761A60"/>
    <w:rsid w:val="00762B78"/>
    <w:rsid w:val="00763398"/>
    <w:rsid w:val="00766F07"/>
    <w:rsid w:val="00767614"/>
    <w:rsid w:val="0076762E"/>
    <w:rsid w:val="007706E7"/>
    <w:rsid w:val="00771B39"/>
    <w:rsid w:val="00772FC1"/>
    <w:rsid w:val="00773007"/>
    <w:rsid w:val="00774A59"/>
    <w:rsid w:val="00775372"/>
    <w:rsid w:val="007759E0"/>
    <w:rsid w:val="00775B36"/>
    <w:rsid w:val="00775F2D"/>
    <w:rsid w:val="0078053F"/>
    <w:rsid w:val="00781568"/>
    <w:rsid w:val="00781665"/>
    <w:rsid w:val="00781993"/>
    <w:rsid w:val="00782FEE"/>
    <w:rsid w:val="00783B1D"/>
    <w:rsid w:val="007840C6"/>
    <w:rsid w:val="0078421A"/>
    <w:rsid w:val="007920C0"/>
    <w:rsid w:val="00792731"/>
    <w:rsid w:val="00792FB8"/>
    <w:rsid w:val="007960B2"/>
    <w:rsid w:val="00796289"/>
    <w:rsid w:val="00796390"/>
    <w:rsid w:val="00796E79"/>
    <w:rsid w:val="0079745F"/>
    <w:rsid w:val="007A00B5"/>
    <w:rsid w:val="007A0EEE"/>
    <w:rsid w:val="007A27AD"/>
    <w:rsid w:val="007A2B1A"/>
    <w:rsid w:val="007A3303"/>
    <w:rsid w:val="007B033B"/>
    <w:rsid w:val="007B2AFC"/>
    <w:rsid w:val="007B409A"/>
    <w:rsid w:val="007B6E41"/>
    <w:rsid w:val="007C025C"/>
    <w:rsid w:val="007C1621"/>
    <w:rsid w:val="007C3D31"/>
    <w:rsid w:val="007C6DEA"/>
    <w:rsid w:val="007C72C1"/>
    <w:rsid w:val="007D2C52"/>
    <w:rsid w:val="007D31A2"/>
    <w:rsid w:val="007D3D79"/>
    <w:rsid w:val="007D4AD0"/>
    <w:rsid w:val="007D538A"/>
    <w:rsid w:val="007E048A"/>
    <w:rsid w:val="007E0AB9"/>
    <w:rsid w:val="007E0CE7"/>
    <w:rsid w:val="007E30BA"/>
    <w:rsid w:val="007E451F"/>
    <w:rsid w:val="007E4880"/>
    <w:rsid w:val="007E622C"/>
    <w:rsid w:val="007F4004"/>
    <w:rsid w:val="007F578F"/>
    <w:rsid w:val="007F57E6"/>
    <w:rsid w:val="007F654A"/>
    <w:rsid w:val="007F6C62"/>
    <w:rsid w:val="00800FD0"/>
    <w:rsid w:val="00802D32"/>
    <w:rsid w:val="00802FD5"/>
    <w:rsid w:val="0080361B"/>
    <w:rsid w:val="00803EBD"/>
    <w:rsid w:val="00803F46"/>
    <w:rsid w:val="008044C1"/>
    <w:rsid w:val="008047CD"/>
    <w:rsid w:val="0080591C"/>
    <w:rsid w:val="00811AE9"/>
    <w:rsid w:val="0081297E"/>
    <w:rsid w:val="00813992"/>
    <w:rsid w:val="00814DF4"/>
    <w:rsid w:val="008161EF"/>
    <w:rsid w:val="008168AE"/>
    <w:rsid w:val="00816C49"/>
    <w:rsid w:val="00816FB8"/>
    <w:rsid w:val="008200E9"/>
    <w:rsid w:val="008241D2"/>
    <w:rsid w:val="00826849"/>
    <w:rsid w:val="00826A52"/>
    <w:rsid w:val="00826AB2"/>
    <w:rsid w:val="00826E96"/>
    <w:rsid w:val="008271A1"/>
    <w:rsid w:val="00830E31"/>
    <w:rsid w:val="0083262E"/>
    <w:rsid w:val="00832AF3"/>
    <w:rsid w:val="0083359E"/>
    <w:rsid w:val="00836383"/>
    <w:rsid w:val="00840DEF"/>
    <w:rsid w:val="00840EDD"/>
    <w:rsid w:val="00841EE4"/>
    <w:rsid w:val="00844FF4"/>
    <w:rsid w:val="00845649"/>
    <w:rsid w:val="008457F1"/>
    <w:rsid w:val="008529AA"/>
    <w:rsid w:val="00857462"/>
    <w:rsid w:val="00857D7F"/>
    <w:rsid w:val="00860B61"/>
    <w:rsid w:val="00860BDD"/>
    <w:rsid w:val="00861816"/>
    <w:rsid w:val="00862171"/>
    <w:rsid w:val="008636B5"/>
    <w:rsid w:val="00863860"/>
    <w:rsid w:val="00863C35"/>
    <w:rsid w:val="00864CFE"/>
    <w:rsid w:val="008672A2"/>
    <w:rsid w:val="008753B5"/>
    <w:rsid w:val="00876331"/>
    <w:rsid w:val="00876CC6"/>
    <w:rsid w:val="008800D4"/>
    <w:rsid w:val="00882294"/>
    <w:rsid w:val="008857B8"/>
    <w:rsid w:val="00885C00"/>
    <w:rsid w:val="00886172"/>
    <w:rsid w:val="00886325"/>
    <w:rsid w:val="008903FD"/>
    <w:rsid w:val="00891186"/>
    <w:rsid w:val="00892588"/>
    <w:rsid w:val="0089514D"/>
    <w:rsid w:val="008952E1"/>
    <w:rsid w:val="00897FA4"/>
    <w:rsid w:val="008A353E"/>
    <w:rsid w:val="008A4896"/>
    <w:rsid w:val="008A6418"/>
    <w:rsid w:val="008A6D32"/>
    <w:rsid w:val="008B00EA"/>
    <w:rsid w:val="008B1C31"/>
    <w:rsid w:val="008B3663"/>
    <w:rsid w:val="008B39BD"/>
    <w:rsid w:val="008B48EC"/>
    <w:rsid w:val="008B6B87"/>
    <w:rsid w:val="008B7A78"/>
    <w:rsid w:val="008C32F0"/>
    <w:rsid w:val="008C407B"/>
    <w:rsid w:val="008C461A"/>
    <w:rsid w:val="008C5ECE"/>
    <w:rsid w:val="008C74C4"/>
    <w:rsid w:val="008C75D0"/>
    <w:rsid w:val="008C7805"/>
    <w:rsid w:val="008C7C14"/>
    <w:rsid w:val="008D12D5"/>
    <w:rsid w:val="008D1C36"/>
    <w:rsid w:val="008D62EA"/>
    <w:rsid w:val="008D7D85"/>
    <w:rsid w:val="008E0F55"/>
    <w:rsid w:val="008E203E"/>
    <w:rsid w:val="008E4DD2"/>
    <w:rsid w:val="008F0BDA"/>
    <w:rsid w:val="008F2501"/>
    <w:rsid w:val="008F2D50"/>
    <w:rsid w:val="008F6D31"/>
    <w:rsid w:val="00900300"/>
    <w:rsid w:val="0090038A"/>
    <w:rsid w:val="00901594"/>
    <w:rsid w:val="00901AFF"/>
    <w:rsid w:val="0090223C"/>
    <w:rsid w:val="00904AF3"/>
    <w:rsid w:val="009064D2"/>
    <w:rsid w:val="009078A4"/>
    <w:rsid w:val="0091038E"/>
    <w:rsid w:val="00911E23"/>
    <w:rsid w:val="00914FEC"/>
    <w:rsid w:val="009155B1"/>
    <w:rsid w:val="00917B97"/>
    <w:rsid w:val="009200EA"/>
    <w:rsid w:val="00921737"/>
    <w:rsid w:val="00922FE1"/>
    <w:rsid w:val="00923BF4"/>
    <w:rsid w:val="009243E3"/>
    <w:rsid w:val="009254CF"/>
    <w:rsid w:val="00926229"/>
    <w:rsid w:val="009270FB"/>
    <w:rsid w:val="009306DA"/>
    <w:rsid w:val="009333DF"/>
    <w:rsid w:val="009350D2"/>
    <w:rsid w:val="009353BB"/>
    <w:rsid w:val="00935FAF"/>
    <w:rsid w:val="0093683E"/>
    <w:rsid w:val="009405F1"/>
    <w:rsid w:val="0094098D"/>
    <w:rsid w:val="009427E6"/>
    <w:rsid w:val="00944679"/>
    <w:rsid w:val="00947266"/>
    <w:rsid w:val="009479A6"/>
    <w:rsid w:val="00950CEC"/>
    <w:rsid w:val="00952C63"/>
    <w:rsid w:val="00962E1E"/>
    <w:rsid w:val="009635B6"/>
    <w:rsid w:val="00963E0E"/>
    <w:rsid w:val="00966E48"/>
    <w:rsid w:val="00967DE7"/>
    <w:rsid w:val="0097080C"/>
    <w:rsid w:val="009717FE"/>
    <w:rsid w:val="0097235E"/>
    <w:rsid w:val="00972F80"/>
    <w:rsid w:val="00973FBD"/>
    <w:rsid w:val="0097437D"/>
    <w:rsid w:val="009750CA"/>
    <w:rsid w:val="00976AC6"/>
    <w:rsid w:val="00981342"/>
    <w:rsid w:val="00983E2F"/>
    <w:rsid w:val="00984E0A"/>
    <w:rsid w:val="00985476"/>
    <w:rsid w:val="00985C36"/>
    <w:rsid w:val="00985DF9"/>
    <w:rsid w:val="009869EE"/>
    <w:rsid w:val="009873BA"/>
    <w:rsid w:val="00987A9E"/>
    <w:rsid w:val="00991BF3"/>
    <w:rsid w:val="009959C0"/>
    <w:rsid w:val="00995E95"/>
    <w:rsid w:val="00997999"/>
    <w:rsid w:val="009979A8"/>
    <w:rsid w:val="009A1829"/>
    <w:rsid w:val="009A2DB4"/>
    <w:rsid w:val="009A31ED"/>
    <w:rsid w:val="009A4E85"/>
    <w:rsid w:val="009A693B"/>
    <w:rsid w:val="009A7058"/>
    <w:rsid w:val="009B0901"/>
    <w:rsid w:val="009B3008"/>
    <w:rsid w:val="009B5731"/>
    <w:rsid w:val="009B6179"/>
    <w:rsid w:val="009B7E9B"/>
    <w:rsid w:val="009C2319"/>
    <w:rsid w:val="009C3111"/>
    <w:rsid w:val="009C5E64"/>
    <w:rsid w:val="009C66E9"/>
    <w:rsid w:val="009C77A7"/>
    <w:rsid w:val="009D0A74"/>
    <w:rsid w:val="009D0B32"/>
    <w:rsid w:val="009D0D3F"/>
    <w:rsid w:val="009D1F74"/>
    <w:rsid w:val="009D223A"/>
    <w:rsid w:val="009D4187"/>
    <w:rsid w:val="009D4868"/>
    <w:rsid w:val="009D4A05"/>
    <w:rsid w:val="009D5002"/>
    <w:rsid w:val="009D6E00"/>
    <w:rsid w:val="009D6E57"/>
    <w:rsid w:val="009D7C65"/>
    <w:rsid w:val="009E59A7"/>
    <w:rsid w:val="009E743E"/>
    <w:rsid w:val="009F0603"/>
    <w:rsid w:val="009F0D8E"/>
    <w:rsid w:val="009F2D79"/>
    <w:rsid w:val="009F319A"/>
    <w:rsid w:val="009F6874"/>
    <w:rsid w:val="00A03AD8"/>
    <w:rsid w:val="00A0457C"/>
    <w:rsid w:val="00A047EF"/>
    <w:rsid w:val="00A067A2"/>
    <w:rsid w:val="00A105DC"/>
    <w:rsid w:val="00A11748"/>
    <w:rsid w:val="00A117AF"/>
    <w:rsid w:val="00A130A2"/>
    <w:rsid w:val="00A16846"/>
    <w:rsid w:val="00A211E2"/>
    <w:rsid w:val="00A237CA"/>
    <w:rsid w:val="00A24653"/>
    <w:rsid w:val="00A24E9C"/>
    <w:rsid w:val="00A254E3"/>
    <w:rsid w:val="00A26E8D"/>
    <w:rsid w:val="00A30AB5"/>
    <w:rsid w:val="00A30E0E"/>
    <w:rsid w:val="00A3145A"/>
    <w:rsid w:val="00A31BF1"/>
    <w:rsid w:val="00A330A5"/>
    <w:rsid w:val="00A33F45"/>
    <w:rsid w:val="00A3502A"/>
    <w:rsid w:val="00A351E7"/>
    <w:rsid w:val="00A356E6"/>
    <w:rsid w:val="00A359B1"/>
    <w:rsid w:val="00A409E9"/>
    <w:rsid w:val="00A42A97"/>
    <w:rsid w:val="00A42AC8"/>
    <w:rsid w:val="00A4436C"/>
    <w:rsid w:val="00A46123"/>
    <w:rsid w:val="00A46DA8"/>
    <w:rsid w:val="00A47692"/>
    <w:rsid w:val="00A52D99"/>
    <w:rsid w:val="00A53196"/>
    <w:rsid w:val="00A53FD9"/>
    <w:rsid w:val="00A54C94"/>
    <w:rsid w:val="00A54DE3"/>
    <w:rsid w:val="00A5586F"/>
    <w:rsid w:val="00A559C6"/>
    <w:rsid w:val="00A563EC"/>
    <w:rsid w:val="00A61AE3"/>
    <w:rsid w:val="00A622AB"/>
    <w:rsid w:val="00A62362"/>
    <w:rsid w:val="00A63E44"/>
    <w:rsid w:val="00A646C6"/>
    <w:rsid w:val="00A65BFC"/>
    <w:rsid w:val="00A74B69"/>
    <w:rsid w:val="00A7762B"/>
    <w:rsid w:val="00A81D39"/>
    <w:rsid w:val="00A820F2"/>
    <w:rsid w:val="00A8280B"/>
    <w:rsid w:val="00A82CA2"/>
    <w:rsid w:val="00A83F58"/>
    <w:rsid w:val="00A855D5"/>
    <w:rsid w:val="00A86521"/>
    <w:rsid w:val="00A94038"/>
    <w:rsid w:val="00A9493C"/>
    <w:rsid w:val="00A9690F"/>
    <w:rsid w:val="00A96DC3"/>
    <w:rsid w:val="00AA3A0C"/>
    <w:rsid w:val="00AA5385"/>
    <w:rsid w:val="00AA6FF5"/>
    <w:rsid w:val="00AB035B"/>
    <w:rsid w:val="00AB0A6E"/>
    <w:rsid w:val="00AB1AD1"/>
    <w:rsid w:val="00AB2167"/>
    <w:rsid w:val="00AB2788"/>
    <w:rsid w:val="00AB484F"/>
    <w:rsid w:val="00AB51E4"/>
    <w:rsid w:val="00AB52B2"/>
    <w:rsid w:val="00AB5476"/>
    <w:rsid w:val="00AB5D79"/>
    <w:rsid w:val="00AC0189"/>
    <w:rsid w:val="00AC20E8"/>
    <w:rsid w:val="00AC2D33"/>
    <w:rsid w:val="00AC2DE1"/>
    <w:rsid w:val="00AC3F5E"/>
    <w:rsid w:val="00AC44F6"/>
    <w:rsid w:val="00AC5421"/>
    <w:rsid w:val="00AC6491"/>
    <w:rsid w:val="00AC713B"/>
    <w:rsid w:val="00AC7C55"/>
    <w:rsid w:val="00AD5ABB"/>
    <w:rsid w:val="00AD7C70"/>
    <w:rsid w:val="00AE0CDE"/>
    <w:rsid w:val="00AE2905"/>
    <w:rsid w:val="00AE4E97"/>
    <w:rsid w:val="00AE6503"/>
    <w:rsid w:val="00AF13D4"/>
    <w:rsid w:val="00AF1448"/>
    <w:rsid w:val="00AF1786"/>
    <w:rsid w:val="00AF3025"/>
    <w:rsid w:val="00AF3785"/>
    <w:rsid w:val="00AF3EE7"/>
    <w:rsid w:val="00AF709B"/>
    <w:rsid w:val="00B031D0"/>
    <w:rsid w:val="00B05B3D"/>
    <w:rsid w:val="00B05F72"/>
    <w:rsid w:val="00B071B3"/>
    <w:rsid w:val="00B10065"/>
    <w:rsid w:val="00B11072"/>
    <w:rsid w:val="00B115BE"/>
    <w:rsid w:val="00B15A10"/>
    <w:rsid w:val="00B1695B"/>
    <w:rsid w:val="00B17939"/>
    <w:rsid w:val="00B20034"/>
    <w:rsid w:val="00B21E66"/>
    <w:rsid w:val="00B23873"/>
    <w:rsid w:val="00B2424B"/>
    <w:rsid w:val="00B25838"/>
    <w:rsid w:val="00B2633D"/>
    <w:rsid w:val="00B304F8"/>
    <w:rsid w:val="00B36E17"/>
    <w:rsid w:val="00B40636"/>
    <w:rsid w:val="00B40E18"/>
    <w:rsid w:val="00B41583"/>
    <w:rsid w:val="00B41E0E"/>
    <w:rsid w:val="00B51D02"/>
    <w:rsid w:val="00B53595"/>
    <w:rsid w:val="00B540E1"/>
    <w:rsid w:val="00B540FC"/>
    <w:rsid w:val="00B54BB3"/>
    <w:rsid w:val="00B566FB"/>
    <w:rsid w:val="00B60176"/>
    <w:rsid w:val="00B61DB9"/>
    <w:rsid w:val="00B63AB0"/>
    <w:rsid w:val="00B64070"/>
    <w:rsid w:val="00B6580E"/>
    <w:rsid w:val="00B663B2"/>
    <w:rsid w:val="00B66EC3"/>
    <w:rsid w:val="00B71876"/>
    <w:rsid w:val="00B7337E"/>
    <w:rsid w:val="00B7491E"/>
    <w:rsid w:val="00B77327"/>
    <w:rsid w:val="00B84EF7"/>
    <w:rsid w:val="00B85C83"/>
    <w:rsid w:val="00B862F6"/>
    <w:rsid w:val="00B865EC"/>
    <w:rsid w:val="00B87773"/>
    <w:rsid w:val="00B92755"/>
    <w:rsid w:val="00B93E7B"/>
    <w:rsid w:val="00B959C8"/>
    <w:rsid w:val="00B95ED7"/>
    <w:rsid w:val="00BA00D5"/>
    <w:rsid w:val="00BA0509"/>
    <w:rsid w:val="00BA0B23"/>
    <w:rsid w:val="00BA12FF"/>
    <w:rsid w:val="00BA1FC7"/>
    <w:rsid w:val="00BA2593"/>
    <w:rsid w:val="00BA32C0"/>
    <w:rsid w:val="00BA45DE"/>
    <w:rsid w:val="00BA53E1"/>
    <w:rsid w:val="00BA6D03"/>
    <w:rsid w:val="00BA6F05"/>
    <w:rsid w:val="00BB0662"/>
    <w:rsid w:val="00BB0C58"/>
    <w:rsid w:val="00BB10FA"/>
    <w:rsid w:val="00BB2BB2"/>
    <w:rsid w:val="00BB3E12"/>
    <w:rsid w:val="00BB6CBD"/>
    <w:rsid w:val="00BB7149"/>
    <w:rsid w:val="00BC5135"/>
    <w:rsid w:val="00BC6498"/>
    <w:rsid w:val="00BC6819"/>
    <w:rsid w:val="00BC7174"/>
    <w:rsid w:val="00BC7CC1"/>
    <w:rsid w:val="00BD0353"/>
    <w:rsid w:val="00BD0B3B"/>
    <w:rsid w:val="00BD174D"/>
    <w:rsid w:val="00BD1C62"/>
    <w:rsid w:val="00BD443B"/>
    <w:rsid w:val="00BD749C"/>
    <w:rsid w:val="00BE0788"/>
    <w:rsid w:val="00BE16F8"/>
    <w:rsid w:val="00BE2BDD"/>
    <w:rsid w:val="00BE2E2E"/>
    <w:rsid w:val="00BE305F"/>
    <w:rsid w:val="00BE3189"/>
    <w:rsid w:val="00BE511E"/>
    <w:rsid w:val="00BE59B4"/>
    <w:rsid w:val="00BE703D"/>
    <w:rsid w:val="00BF0337"/>
    <w:rsid w:val="00BF0E1A"/>
    <w:rsid w:val="00BF12AA"/>
    <w:rsid w:val="00BF43AA"/>
    <w:rsid w:val="00BF487A"/>
    <w:rsid w:val="00BF699E"/>
    <w:rsid w:val="00BF6AA2"/>
    <w:rsid w:val="00C00F17"/>
    <w:rsid w:val="00C02C43"/>
    <w:rsid w:val="00C035F1"/>
    <w:rsid w:val="00C0438D"/>
    <w:rsid w:val="00C05623"/>
    <w:rsid w:val="00C05F6B"/>
    <w:rsid w:val="00C07714"/>
    <w:rsid w:val="00C10E3C"/>
    <w:rsid w:val="00C11F52"/>
    <w:rsid w:val="00C13403"/>
    <w:rsid w:val="00C137E4"/>
    <w:rsid w:val="00C15701"/>
    <w:rsid w:val="00C1570A"/>
    <w:rsid w:val="00C2053D"/>
    <w:rsid w:val="00C214C6"/>
    <w:rsid w:val="00C214F9"/>
    <w:rsid w:val="00C2295A"/>
    <w:rsid w:val="00C24191"/>
    <w:rsid w:val="00C26028"/>
    <w:rsid w:val="00C26947"/>
    <w:rsid w:val="00C2746B"/>
    <w:rsid w:val="00C27864"/>
    <w:rsid w:val="00C27AAE"/>
    <w:rsid w:val="00C31111"/>
    <w:rsid w:val="00C31D9C"/>
    <w:rsid w:val="00C33B7F"/>
    <w:rsid w:val="00C3449D"/>
    <w:rsid w:val="00C349D3"/>
    <w:rsid w:val="00C35EEC"/>
    <w:rsid w:val="00C35FBC"/>
    <w:rsid w:val="00C41FE9"/>
    <w:rsid w:val="00C428D2"/>
    <w:rsid w:val="00C444BF"/>
    <w:rsid w:val="00C4763B"/>
    <w:rsid w:val="00C50A98"/>
    <w:rsid w:val="00C5113E"/>
    <w:rsid w:val="00C53E0A"/>
    <w:rsid w:val="00C56868"/>
    <w:rsid w:val="00C56D9D"/>
    <w:rsid w:val="00C57201"/>
    <w:rsid w:val="00C578A0"/>
    <w:rsid w:val="00C60F25"/>
    <w:rsid w:val="00C6154D"/>
    <w:rsid w:val="00C62368"/>
    <w:rsid w:val="00C62559"/>
    <w:rsid w:val="00C635BB"/>
    <w:rsid w:val="00C63D2A"/>
    <w:rsid w:val="00C64C92"/>
    <w:rsid w:val="00C73B7B"/>
    <w:rsid w:val="00C75C10"/>
    <w:rsid w:val="00C778BA"/>
    <w:rsid w:val="00C77E78"/>
    <w:rsid w:val="00C830AC"/>
    <w:rsid w:val="00C8395F"/>
    <w:rsid w:val="00C84AA1"/>
    <w:rsid w:val="00C86896"/>
    <w:rsid w:val="00C90DEF"/>
    <w:rsid w:val="00C92097"/>
    <w:rsid w:val="00C92BC0"/>
    <w:rsid w:val="00C93113"/>
    <w:rsid w:val="00C932F3"/>
    <w:rsid w:val="00C935BF"/>
    <w:rsid w:val="00C93606"/>
    <w:rsid w:val="00C94371"/>
    <w:rsid w:val="00C94653"/>
    <w:rsid w:val="00C954B2"/>
    <w:rsid w:val="00C969AB"/>
    <w:rsid w:val="00C972B6"/>
    <w:rsid w:val="00C973CC"/>
    <w:rsid w:val="00C9744F"/>
    <w:rsid w:val="00C975A1"/>
    <w:rsid w:val="00CA0E94"/>
    <w:rsid w:val="00CA21A0"/>
    <w:rsid w:val="00CA2B21"/>
    <w:rsid w:val="00CA2CF3"/>
    <w:rsid w:val="00CA71A9"/>
    <w:rsid w:val="00CB4308"/>
    <w:rsid w:val="00CB4932"/>
    <w:rsid w:val="00CC0741"/>
    <w:rsid w:val="00CC32B1"/>
    <w:rsid w:val="00CC6505"/>
    <w:rsid w:val="00CC69B8"/>
    <w:rsid w:val="00CC74AB"/>
    <w:rsid w:val="00CD0A19"/>
    <w:rsid w:val="00CD0B6F"/>
    <w:rsid w:val="00CD165B"/>
    <w:rsid w:val="00CD3463"/>
    <w:rsid w:val="00CD37C7"/>
    <w:rsid w:val="00CD3826"/>
    <w:rsid w:val="00CD47F7"/>
    <w:rsid w:val="00CE1D67"/>
    <w:rsid w:val="00CE350B"/>
    <w:rsid w:val="00CE385B"/>
    <w:rsid w:val="00CE56F7"/>
    <w:rsid w:val="00CE5B74"/>
    <w:rsid w:val="00CE5B92"/>
    <w:rsid w:val="00CE6D7D"/>
    <w:rsid w:val="00CE7755"/>
    <w:rsid w:val="00CE7A0B"/>
    <w:rsid w:val="00CF0FEF"/>
    <w:rsid w:val="00CF19A9"/>
    <w:rsid w:val="00CF3D7A"/>
    <w:rsid w:val="00CF717B"/>
    <w:rsid w:val="00D00723"/>
    <w:rsid w:val="00D012AD"/>
    <w:rsid w:val="00D01E24"/>
    <w:rsid w:val="00D02292"/>
    <w:rsid w:val="00D03FFD"/>
    <w:rsid w:val="00D06085"/>
    <w:rsid w:val="00D060CA"/>
    <w:rsid w:val="00D0628A"/>
    <w:rsid w:val="00D07587"/>
    <w:rsid w:val="00D079E7"/>
    <w:rsid w:val="00D07E4E"/>
    <w:rsid w:val="00D10D29"/>
    <w:rsid w:val="00D1236C"/>
    <w:rsid w:val="00D137E4"/>
    <w:rsid w:val="00D13BD8"/>
    <w:rsid w:val="00D163BC"/>
    <w:rsid w:val="00D16A9B"/>
    <w:rsid w:val="00D17798"/>
    <w:rsid w:val="00D17F93"/>
    <w:rsid w:val="00D2167A"/>
    <w:rsid w:val="00D2286F"/>
    <w:rsid w:val="00D231E0"/>
    <w:rsid w:val="00D30476"/>
    <w:rsid w:val="00D30F1B"/>
    <w:rsid w:val="00D3670B"/>
    <w:rsid w:val="00D40C74"/>
    <w:rsid w:val="00D45B1F"/>
    <w:rsid w:val="00D477F2"/>
    <w:rsid w:val="00D5047C"/>
    <w:rsid w:val="00D50850"/>
    <w:rsid w:val="00D51283"/>
    <w:rsid w:val="00D524F9"/>
    <w:rsid w:val="00D53A64"/>
    <w:rsid w:val="00D5450E"/>
    <w:rsid w:val="00D54ED4"/>
    <w:rsid w:val="00D552AA"/>
    <w:rsid w:val="00D55934"/>
    <w:rsid w:val="00D56136"/>
    <w:rsid w:val="00D573A5"/>
    <w:rsid w:val="00D57728"/>
    <w:rsid w:val="00D60F3B"/>
    <w:rsid w:val="00D61B72"/>
    <w:rsid w:val="00D63887"/>
    <w:rsid w:val="00D63B14"/>
    <w:rsid w:val="00D650A8"/>
    <w:rsid w:val="00D71CE4"/>
    <w:rsid w:val="00D75103"/>
    <w:rsid w:val="00D755B1"/>
    <w:rsid w:val="00D7661E"/>
    <w:rsid w:val="00D775E1"/>
    <w:rsid w:val="00D80526"/>
    <w:rsid w:val="00D80FDD"/>
    <w:rsid w:val="00D8186C"/>
    <w:rsid w:val="00D818A2"/>
    <w:rsid w:val="00D818AE"/>
    <w:rsid w:val="00D81ABA"/>
    <w:rsid w:val="00D85D4C"/>
    <w:rsid w:val="00D86444"/>
    <w:rsid w:val="00D86A9D"/>
    <w:rsid w:val="00D8701B"/>
    <w:rsid w:val="00D87579"/>
    <w:rsid w:val="00D9062C"/>
    <w:rsid w:val="00D92628"/>
    <w:rsid w:val="00D959B0"/>
    <w:rsid w:val="00D95B67"/>
    <w:rsid w:val="00D96329"/>
    <w:rsid w:val="00D96E3B"/>
    <w:rsid w:val="00DA11A9"/>
    <w:rsid w:val="00DA370A"/>
    <w:rsid w:val="00DA43CC"/>
    <w:rsid w:val="00DA4702"/>
    <w:rsid w:val="00DA7FEB"/>
    <w:rsid w:val="00DB0182"/>
    <w:rsid w:val="00DB2F39"/>
    <w:rsid w:val="00DB674C"/>
    <w:rsid w:val="00DB6CF2"/>
    <w:rsid w:val="00DB7141"/>
    <w:rsid w:val="00DB7A79"/>
    <w:rsid w:val="00DC01C0"/>
    <w:rsid w:val="00DC056D"/>
    <w:rsid w:val="00DC0971"/>
    <w:rsid w:val="00DC3EB1"/>
    <w:rsid w:val="00DC42BB"/>
    <w:rsid w:val="00DC47DD"/>
    <w:rsid w:val="00DC4FE1"/>
    <w:rsid w:val="00DC69B6"/>
    <w:rsid w:val="00DD0A15"/>
    <w:rsid w:val="00DD1E8F"/>
    <w:rsid w:val="00DD33D9"/>
    <w:rsid w:val="00DD41B7"/>
    <w:rsid w:val="00DD51AB"/>
    <w:rsid w:val="00DD5C43"/>
    <w:rsid w:val="00DE01E2"/>
    <w:rsid w:val="00DE0A76"/>
    <w:rsid w:val="00DE22C9"/>
    <w:rsid w:val="00DE49A4"/>
    <w:rsid w:val="00DE5AA7"/>
    <w:rsid w:val="00DE650D"/>
    <w:rsid w:val="00DF01BB"/>
    <w:rsid w:val="00DF1936"/>
    <w:rsid w:val="00DF6C9A"/>
    <w:rsid w:val="00E0289D"/>
    <w:rsid w:val="00E05588"/>
    <w:rsid w:val="00E05928"/>
    <w:rsid w:val="00E05A99"/>
    <w:rsid w:val="00E06002"/>
    <w:rsid w:val="00E105C1"/>
    <w:rsid w:val="00E11078"/>
    <w:rsid w:val="00E12CF8"/>
    <w:rsid w:val="00E17631"/>
    <w:rsid w:val="00E17B3E"/>
    <w:rsid w:val="00E24384"/>
    <w:rsid w:val="00E24F2E"/>
    <w:rsid w:val="00E25D2B"/>
    <w:rsid w:val="00E26DEF"/>
    <w:rsid w:val="00E27C3D"/>
    <w:rsid w:val="00E30E95"/>
    <w:rsid w:val="00E31ADE"/>
    <w:rsid w:val="00E324C3"/>
    <w:rsid w:val="00E3269D"/>
    <w:rsid w:val="00E356D8"/>
    <w:rsid w:val="00E40F1B"/>
    <w:rsid w:val="00E41A1A"/>
    <w:rsid w:val="00E41BC2"/>
    <w:rsid w:val="00E437F1"/>
    <w:rsid w:val="00E4615C"/>
    <w:rsid w:val="00E468F6"/>
    <w:rsid w:val="00E46D77"/>
    <w:rsid w:val="00E52894"/>
    <w:rsid w:val="00E534F8"/>
    <w:rsid w:val="00E53785"/>
    <w:rsid w:val="00E54547"/>
    <w:rsid w:val="00E553D6"/>
    <w:rsid w:val="00E565B8"/>
    <w:rsid w:val="00E56699"/>
    <w:rsid w:val="00E61357"/>
    <w:rsid w:val="00E620F2"/>
    <w:rsid w:val="00E623B2"/>
    <w:rsid w:val="00E62960"/>
    <w:rsid w:val="00E63B50"/>
    <w:rsid w:val="00E64403"/>
    <w:rsid w:val="00E64F1E"/>
    <w:rsid w:val="00E65AE6"/>
    <w:rsid w:val="00E66623"/>
    <w:rsid w:val="00E734F2"/>
    <w:rsid w:val="00E73776"/>
    <w:rsid w:val="00E73C56"/>
    <w:rsid w:val="00E820FD"/>
    <w:rsid w:val="00E833B6"/>
    <w:rsid w:val="00E84652"/>
    <w:rsid w:val="00E87605"/>
    <w:rsid w:val="00E92AC6"/>
    <w:rsid w:val="00EA0E23"/>
    <w:rsid w:val="00EA0F91"/>
    <w:rsid w:val="00EA1201"/>
    <w:rsid w:val="00EA34FE"/>
    <w:rsid w:val="00EA3770"/>
    <w:rsid w:val="00EA4EE8"/>
    <w:rsid w:val="00EA7AB8"/>
    <w:rsid w:val="00EA7E20"/>
    <w:rsid w:val="00EB2029"/>
    <w:rsid w:val="00EB2DA6"/>
    <w:rsid w:val="00EB38A7"/>
    <w:rsid w:val="00EB3D83"/>
    <w:rsid w:val="00EB530E"/>
    <w:rsid w:val="00EB53A8"/>
    <w:rsid w:val="00EC1080"/>
    <w:rsid w:val="00EC1E5B"/>
    <w:rsid w:val="00EC2D96"/>
    <w:rsid w:val="00EC3040"/>
    <w:rsid w:val="00EC3E58"/>
    <w:rsid w:val="00EC4427"/>
    <w:rsid w:val="00EC5B17"/>
    <w:rsid w:val="00EC7D7A"/>
    <w:rsid w:val="00ED1AFA"/>
    <w:rsid w:val="00ED1F04"/>
    <w:rsid w:val="00ED2031"/>
    <w:rsid w:val="00ED2693"/>
    <w:rsid w:val="00ED4CBA"/>
    <w:rsid w:val="00ED4F29"/>
    <w:rsid w:val="00ED6250"/>
    <w:rsid w:val="00ED6504"/>
    <w:rsid w:val="00ED6801"/>
    <w:rsid w:val="00ED6C75"/>
    <w:rsid w:val="00EE0DD2"/>
    <w:rsid w:val="00EE2A67"/>
    <w:rsid w:val="00EE37FE"/>
    <w:rsid w:val="00EF11D2"/>
    <w:rsid w:val="00EF140F"/>
    <w:rsid w:val="00EF1564"/>
    <w:rsid w:val="00EF260E"/>
    <w:rsid w:val="00EF3750"/>
    <w:rsid w:val="00EF4067"/>
    <w:rsid w:val="00F01AAC"/>
    <w:rsid w:val="00F023C2"/>
    <w:rsid w:val="00F03E41"/>
    <w:rsid w:val="00F05E17"/>
    <w:rsid w:val="00F05FB5"/>
    <w:rsid w:val="00F1192E"/>
    <w:rsid w:val="00F12542"/>
    <w:rsid w:val="00F135B6"/>
    <w:rsid w:val="00F152D7"/>
    <w:rsid w:val="00F152FE"/>
    <w:rsid w:val="00F15585"/>
    <w:rsid w:val="00F2110A"/>
    <w:rsid w:val="00F21CEF"/>
    <w:rsid w:val="00F23264"/>
    <w:rsid w:val="00F23486"/>
    <w:rsid w:val="00F2398B"/>
    <w:rsid w:val="00F26DAE"/>
    <w:rsid w:val="00F27159"/>
    <w:rsid w:val="00F30B14"/>
    <w:rsid w:val="00F321A8"/>
    <w:rsid w:val="00F33350"/>
    <w:rsid w:val="00F33843"/>
    <w:rsid w:val="00F34AE1"/>
    <w:rsid w:val="00F350E2"/>
    <w:rsid w:val="00F35B5A"/>
    <w:rsid w:val="00F35EFB"/>
    <w:rsid w:val="00F36E79"/>
    <w:rsid w:val="00F37A9E"/>
    <w:rsid w:val="00F4124B"/>
    <w:rsid w:val="00F44F2E"/>
    <w:rsid w:val="00F5254A"/>
    <w:rsid w:val="00F53303"/>
    <w:rsid w:val="00F53BA0"/>
    <w:rsid w:val="00F53BE7"/>
    <w:rsid w:val="00F54295"/>
    <w:rsid w:val="00F54546"/>
    <w:rsid w:val="00F54A8B"/>
    <w:rsid w:val="00F55D37"/>
    <w:rsid w:val="00F56EA1"/>
    <w:rsid w:val="00F605AE"/>
    <w:rsid w:val="00F636E6"/>
    <w:rsid w:val="00F63A71"/>
    <w:rsid w:val="00F63ACF"/>
    <w:rsid w:val="00F64776"/>
    <w:rsid w:val="00F65D16"/>
    <w:rsid w:val="00F6624B"/>
    <w:rsid w:val="00F74A55"/>
    <w:rsid w:val="00F752DC"/>
    <w:rsid w:val="00F83A55"/>
    <w:rsid w:val="00F85EDC"/>
    <w:rsid w:val="00F86667"/>
    <w:rsid w:val="00F8685B"/>
    <w:rsid w:val="00F868E0"/>
    <w:rsid w:val="00F87C78"/>
    <w:rsid w:val="00F9061D"/>
    <w:rsid w:val="00F90C9F"/>
    <w:rsid w:val="00F937E2"/>
    <w:rsid w:val="00F96262"/>
    <w:rsid w:val="00F978A8"/>
    <w:rsid w:val="00FA21AB"/>
    <w:rsid w:val="00FA2AC6"/>
    <w:rsid w:val="00FA5157"/>
    <w:rsid w:val="00FA54BF"/>
    <w:rsid w:val="00FA5520"/>
    <w:rsid w:val="00FA5655"/>
    <w:rsid w:val="00FA60C8"/>
    <w:rsid w:val="00FA6E7A"/>
    <w:rsid w:val="00FB0859"/>
    <w:rsid w:val="00FB23AE"/>
    <w:rsid w:val="00FB3BCE"/>
    <w:rsid w:val="00FB463A"/>
    <w:rsid w:val="00FB504E"/>
    <w:rsid w:val="00FB782D"/>
    <w:rsid w:val="00FC041C"/>
    <w:rsid w:val="00FC0DDF"/>
    <w:rsid w:val="00FC156E"/>
    <w:rsid w:val="00FC2131"/>
    <w:rsid w:val="00FC3E05"/>
    <w:rsid w:val="00FC473D"/>
    <w:rsid w:val="00FC51F2"/>
    <w:rsid w:val="00FC62B1"/>
    <w:rsid w:val="00FD084D"/>
    <w:rsid w:val="00FD122B"/>
    <w:rsid w:val="00FD22E5"/>
    <w:rsid w:val="00FD242E"/>
    <w:rsid w:val="00FD2A6A"/>
    <w:rsid w:val="00FD4167"/>
    <w:rsid w:val="00FD443E"/>
    <w:rsid w:val="00FD4FDA"/>
    <w:rsid w:val="00FD5949"/>
    <w:rsid w:val="00FD5A3B"/>
    <w:rsid w:val="00FD754D"/>
    <w:rsid w:val="00FD78FF"/>
    <w:rsid w:val="00FE0412"/>
    <w:rsid w:val="00FE2D19"/>
    <w:rsid w:val="00FE3383"/>
    <w:rsid w:val="00FE4076"/>
    <w:rsid w:val="00FE5CB1"/>
    <w:rsid w:val="00FF432E"/>
    <w:rsid w:val="00FF48DA"/>
    <w:rsid w:val="00FF4F57"/>
    <w:rsid w:val="00FF53FB"/>
    <w:rsid w:val="00FF54DD"/>
    <w:rsid w:val="00FF605A"/>
    <w:rsid w:val="00FF6452"/>
    <w:rsid w:val="01395A13"/>
    <w:rsid w:val="01481550"/>
    <w:rsid w:val="01482262"/>
    <w:rsid w:val="01704E6E"/>
    <w:rsid w:val="02526E51"/>
    <w:rsid w:val="0266680C"/>
    <w:rsid w:val="026C6C06"/>
    <w:rsid w:val="02756C66"/>
    <w:rsid w:val="02AE64AF"/>
    <w:rsid w:val="02AE6BB2"/>
    <w:rsid w:val="02C62870"/>
    <w:rsid w:val="031331E4"/>
    <w:rsid w:val="032C47E1"/>
    <w:rsid w:val="03A77D89"/>
    <w:rsid w:val="03D05BD6"/>
    <w:rsid w:val="03ED5620"/>
    <w:rsid w:val="043622D4"/>
    <w:rsid w:val="0440007A"/>
    <w:rsid w:val="04937ECA"/>
    <w:rsid w:val="04F15114"/>
    <w:rsid w:val="050A0494"/>
    <w:rsid w:val="05474C22"/>
    <w:rsid w:val="054B411F"/>
    <w:rsid w:val="05AC0D91"/>
    <w:rsid w:val="05B51F4A"/>
    <w:rsid w:val="05C8086F"/>
    <w:rsid w:val="060F24C5"/>
    <w:rsid w:val="06385B2B"/>
    <w:rsid w:val="0641070F"/>
    <w:rsid w:val="06775D1B"/>
    <w:rsid w:val="070D265E"/>
    <w:rsid w:val="07153BD9"/>
    <w:rsid w:val="07744564"/>
    <w:rsid w:val="079C3094"/>
    <w:rsid w:val="07CF018D"/>
    <w:rsid w:val="082378EF"/>
    <w:rsid w:val="086859BB"/>
    <w:rsid w:val="086D3C75"/>
    <w:rsid w:val="087A2AE7"/>
    <w:rsid w:val="087D1D8A"/>
    <w:rsid w:val="08840342"/>
    <w:rsid w:val="088769A3"/>
    <w:rsid w:val="089A1792"/>
    <w:rsid w:val="08F16343"/>
    <w:rsid w:val="08FA10FE"/>
    <w:rsid w:val="09161C12"/>
    <w:rsid w:val="091D5666"/>
    <w:rsid w:val="09411E04"/>
    <w:rsid w:val="09950F73"/>
    <w:rsid w:val="09A93F1E"/>
    <w:rsid w:val="09B0769E"/>
    <w:rsid w:val="09CE7BF6"/>
    <w:rsid w:val="0A2D40C7"/>
    <w:rsid w:val="0A3713AA"/>
    <w:rsid w:val="0A3F783C"/>
    <w:rsid w:val="0A950826"/>
    <w:rsid w:val="0A952594"/>
    <w:rsid w:val="0AA751F7"/>
    <w:rsid w:val="0AEA1C28"/>
    <w:rsid w:val="0AFF4EBF"/>
    <w:rsid w:val="0B7D7C55"/>
    <w:rsid w:val="0B9726BD"/>
    <w:rsid w:val="0BAC482F"/>
    <w:rsid w:val="0BDA5906"/>
    <w:rsid w:val="0BDB1FDF"/>
    <w:rsid w:val="0C2402E9"/>
    <w:rsid w:val="0C26306E"/>
    <w:rsid w:val="0C494420"/>
    <w:rsid w:val="0C6A212B"/>
    <w:rsid w:val="0C7A51A2"/>
    <w:rsid w:val="0C827721"/>
    <w:rsid w:val="0C8D1F24"/>
    <w:rsid w:val="0C9D5B46"/>
    <w:rsid w:val="0CA1035A"/>
    <w:rsid w:val="0CD90E20"/>
    <w:rsid w:val="0CE84908"/>
    <w:rsid w:val="0D424CBB"/>
    <w:rsid w:val="0D5648D4"/>
    <w:rsid w:val="0D821DB2"/>
    <w:rsid w:val="0E0841EC"/>
    <w:rsid w:val="0E4F55B7"/>
    <w:rsid w:val="0E5C04CB"/>
    <w:rsid w:val="0E7905B1"/>
    <w:rsid w:val="0E7C1F6C"/>
    <w:rsid w:val="0E921704"/>
    <w:rsid w:val="0E9F14D8"/>
    <w:rsid w:val="0EAE3A9E"/>
    <w:rsid w:val="0F1B7BCD"/>
    <w:rsid w:val="0F6111DE"/>
    <w:rsid w:val="0FF9352E"/>
    <w:rsid w:val="1062396C"/>
    <w:rsid w:val="108D5AAF"/>
    <w:rsid w:val="10A3362A"/>
    <w:rsid w:val="11190BF4"/>
    <w:rsid w:val="112712B9"/>
    <w:rsid w:val="119121EA"/>
    <w:rsid w:val="11953C12"/>
    <w:rsid w:val="11C035DB"/>
    <w:rsid w:val="11DC67A9"/>
    <w:rsid w:val="12177DA7"/>
    <w:rsid w:val="121A6ADF"/>
    <w:rsid w:val="122024C3"/>
    <w:rsid w:val="124634C6"/>
    <w:rsid w:val="12681CD2"/>
    <w:rsid w:val="12823541"/>
    <w:rsid w:val="12912A1B"/>
    <w:rsid w:val="12D35343"/>
    <w:rsid w:val="12FE5BF9"/>
    <w:rsid w:val="13176DAC"/>
    <w:rsid w:val="131C00F3"/>
    <w:rsid w:val="131D6C68"/>
    <w:rsid w:val="132212C4"/>
    <w:rsid w:val="13680005"/>
    <w:rsid w:val="13A15769"/>
    <w:rsid w:val="13C20FE9"/>
    <w:rsid w:val="13CA6788"/>
    <w:rsid w:val="144E04D3"/>
    <w:rsid w:val="14622308"/>
    <w:rsid w:val="14BE07B7"/>
    <w:rsid w:val="14BE5089"/>
    <w:rsid w:val="14CD7296"/>
    <w:rsid w:val="14F005B0"/>
    <w:rsid w:val="150462E7"/>
    <w:rsid w:val="155820B0"/>
    <w:rsid w:val="15E54C31"/>
    <w:rsid w:val="1616507C"/>
    <w:rsid w:val="162B2776"/>
    <w:rsid w:val="16471830"/>
    <w:rsid w:val="16B46F9D"/>
    <w:rsid w:val="16D76246"/>
    <w:rsid w:val="16E322BF"/>
    <w:rsid w:val="16E52A9F"/>
    <w:rsid w:val="170252B3"/>
    <w:rsid w:val="172E3F13"/>
    <w:rsid w:val="17444313"/>
    <w:rsid w:val="176671F6"/>
    <w:rsid w:val="176A3B89"/>
    <w:rsid w:val="178449C5"/>
    <w:rsid w:val="17D92831"/>
    <w:rsid w:val="187A6632"/>
    <w:rsid w:val="18E6414E"/>
    <w:rsid w:val="19705D80"/>
    <w:rsid w:val="19837950"/>
    <w:rsid w:val="19921D12"/>
    <w:rsid w:val="19AB39F7"/>
    <w:rsid w:val="19FC4C8C"/>
    <w:rsid w:val="1A5652A0"/>
    <w:rsid w:val="1A8A6231"/>
    <w:rsid w:val="1A8C7E52"/>
    <w:rsid w:val="1A960B9F"/>
    <w:rsid w:val="1AA82E54"/>
    <w:rsid w:val="1AB85F3B"/>
    <w:rsid w:val="1ABE4BC7"/>
    <w:rsid w:val="1ACC62AA"/>
    <w:rsid w:val="1B1C5E1C"/>
    <w:rsid w:val="1B391ACA"/>
    <w:rsid w:val="1B9568D9"/>
    <w:rsid w:val="1BB42944"/>
    <w:rsid w:val="1C4F33D3"/>
    <w:rsid w:val="1C5C4B07"/>
    <w:rsid w:val="1C6A3B2C"/>
    <w:rsid w:val="1D396315"/>
    <w:rsid w:val="1D67122D"/>
    <w:rsid w:val="1D6C6EAC"/>
    <w:rsid w:val="1DD1078F"/>
    <w:rsid w:val="1DFE3143"/>
    <w:rsid w:val="1E1E7FBE"/>
    <w:rsid w:val="1E2117FA"/>
    <w:rsid w:val="1E420158"/>
    <w:rsid w:val="1E7B1A78"/>
    <w:rsid w:val="1EAC1B34"/>
    <w:rsid w:val="1EC10E8A"/>
    <w:rsid w:val="1EF93AF3"/>
    <w:rsid w:val="1F3131A2"/>
    <w:rsid w:val="1F825C34"/>
    <w:rsid w:val="1F8412FC"/>
    <w:rsid w:val="1F8B225B"/>
    <w:rsid w:val="1F9C0876"/>
    <w:rsid w:val="1FA032CF"/>
    <w:rsid w:val="1FB14ADB"/>
    <w:rsid w:val="1FBF1C2F"/>
    <w:rsid w:val="1FBF7E8C"/>
    <w:rsid w:val="1FDF57E4"/>
    <w:rsid w:val="20230E49"/>
    <w:rsid w:val="20436E53"/>
    <w:rsid w:val="209A60B8"/>
    <w:rsid w:val="20B35020"/>
    <w:rsid w:val="21083423"/>
    <w:rsid w:val="21165942"/>
    <w:rsid w:val="213853B1"/>
    <w:rsid w:val="214035A6"/>
    <w:rsid w:val="21464A37"/>
    <w:rsid w:val="21A31E57"/>
    <w:rsid w:val="21CB6C1F"/>
    <w:rsid w:val="21E575E7"/>
    <w:rsid w:val="22087CE9"/>
    <w:rsid w:val="221D4AE9"/>
    <w:rsid w:val="222B1F77"/>
    <w:rsid w:val="226A1FBB"/>
    <w:rsid w:val="228C5759"/>
    <w:rsid w:val="22C00CF5"/>
    <w:rsid w:val="22FD0AE8"/>
    <w:rsid w:val="22FF2AFD"/>
    <w:rsid w:val="231B7DC9"/>
    <w:rsid w:val="23BD3EF9"/>
    <w:rsid w:val="24050CB3"/>
    <w:rsid w:val="240C7A43"/>
    <w:rsid w:val="241B68D6"/>
    <w:rsid w:val="24204F5C"/>
    <w:rsid w:val="243778EB"/>
    <w:rsid w:val="24574D9E"/>
    <w:rsid w:val="24635039"/>
    <w:rsid w:val="24643CB4"/>
    <w:rsid w:val="24817A8F"/>
    <w:rsid w:val="2493473D"/>
    <w:rsid w:val="24B349A8"/>
    <w:rsid w:val="251B5B23"/>
    <w:rsid w:val="2566544A"/>
    <w:rsid w:val="256655D2"/>
    <w:rsid w:val="25AD4403"/>
    <w:rsid w:val="25E34250"/>
    <w:rsid w:val="2608323B"/>
    <w:rsid w:val="26107749"/>
    <w:rsid w:val="268D1C99"/>
    <w:rsid w:val="26E435A5"/>
    <w:rsid w:val="26F12F12"/>
    <w:rsid w:val="26F4337D"/>
    <w:rsid w:val="26F80281"/>
    <w:rsid w:val="27AC1848"/>
    <w:rsid w:val="27D14480"/>
    <w:rsid w:val="27E02047"/>
    <w:rsid w:val="280B6E21"/>
    <w:rsid w:val="287E26DF"/>
    <w:rsid w:val="294E79AA"/>
    <w:rsid w:val="295D7973"/>
    <w:rsid w:val="29944682"/>
    <w:rsid w:val="29A359DF"/>
    <w:rsid w:val="2A061D44"/>
    <w:rsid w:val="2A34552B"/>
    <w:rsid w:val="2A3C1600"/>
    <w:rsid w:val="2A727F09"/>
    <w:rsid w:val="2A8E348F"/>
    <w:rsid w:val="2AAA685A"/>
    <w:rsid w:val="2B2C0533"/>
    <w:rsid w:val="2B3B54A5"/>
    <w:rsid w:val="2B3F77F1"/>
    <w:rsid w:val="2B8F63EE"/>
    <w:rsid w:val="2C251627"/>
    <w:rsid w:val="2C3D3057"/>
    <w:rsid w:val="2C467BD5"/>
    <w:rsid w:val="2CA6012B"/>
    <w:rsid w:val="2CCB2703"/>
    <w:rsid w:val="2CD0027D"/>
    <w:rsid w:val="2CF14583"/>
    <w:rsid w:val="2D1D0483"/>
    <w:rsid w:val="2D1E76F3"/>
    <w:rsid w:val="2D794D40"/>
    <w:rsid w:val="2DBE12D8"/>
    <w:rsid w:val="2E0C438C"/>
    <w:rsid w:val="2E2106B1"/>
    <w:rsid w:val="2E334A67"/>
    <w:rsid w:val="2E5D48AD"/>
    <w:rsid w:val="2EFE2184"/>
    <w:rsid w:val="2F4049B3"/>
    <w:rsid w:val="2F782FA4"/>
    <w:rsid w:val="2FF03249"/>
    <w:rsid w:val="30156D50"/>
    <w:rsid w:val="303F2033"/>
    <w:rsid w:val="305C03A7"/>
    <w:rsid w:val="306F6CEC"/>
    <w:rsid w:val="309D7B2C"/>
    <w:rsid w:val="30B00BC4"/>
    <w:rsid w:val="30B17D2D"/>
    <w:rsid w:val="3135540F"/>
    <w:rsid w:val="313E33F0"/>
    <w:rsid w:val="316D7120"/>
    <w:rsid w:val="31C84156"/>
    <w:rsid w:val="31F67F9E"/>
    <w:rsid w:val="323A6E2B"/>
    <w:rsid w:val="3245361E"/>
    <w:rsid w:val="325254E0"/>
    <w:rsid w:val="325B669B"/>
    <w:rsid w:val="32722C78"/>
    <w:rsid w:val="32A75D2C"/>
    <w:rsid w:val="32D0273F"/>
    <w:rsid w:val="32D7264D"/>
    <w:rsid w:val="32E60304"/>
    <w:rsid w:val="33032C35"/>
    <w:rsid w:val="33367CE7"/>
    <w:rsid w:val="335C64FA"/>
    <w:rsid w:val="337717EF"/>
    <w:rsid w:val="33C06B47"/>
    <w:rsid w:val="33C753FB"/>
    <w:rsid w:val="33CF48F6"/>
    <w:rsid w:val="343D563D"/>
    <w:rsid w:val="34B50C77"/>
    <w:rsid w:val="34C612DB"/>
    <w:rsid w:val="353E29FB"/>
    <w:rsid w:val="355F0484"/>
    <w:rsid w:val="35A60E72"/>
    <w:rsid w:val="35D84217"/>
    <w:rsid w:val="362804FE"/>
    <w:rsid w:val="364F19B8"/>
    <w:rsid w:val="367C7997"/>
    <w:rsid w:val="36861020"/>
    <w:rsid w:val="36B9296A"/>
    <w:rsid w:val="36C66CBD"/>
    <w:rsid w:val="36F54C13"/>
    <w:rsid w:val="37374E4A"/>
    <w:rsid w:val="37446605"/>
    <w:rsid w:val="375D0707"/>
    <w:rsid w:val="377A5B3E"/>
    <w:rsid w:val="37AB3F0A"/>
    <w:rsid w:val="37F03CE3"/>
    <w:rsid w:val="37F620AA"/>
    <w:rsid w:val="381D3728"/>
    <w:rsid w:val="382443E4"/>
    <w:rsid w:val="38547B62"/>
    <w:rsid w:val="38613037"/>
    <w:rsid w:val="388B3057"/>
    <w:rsid w:val="38A014EF"/>
    <w:rsid w:val="38DD23A8"/>
    <w:rsid w:val="38E750C0"/>
    <w:rsid w:val="38F7742E"/>
    <w:rsid w:val="39312EAA"/>
    <w:rsid w:val="393F03AE"/>
    <w:rsid w:val="39473693"/>
    <w:rsid w:val="3953352A"/>
    <w:rsid w:val="396E1731"/>
    <w:rsid w:val="39894C2B"/>
    <w:rsid w:val="3990202E"/>
    <w:rsid w:val="39CF58F9"/>
    <w:rsid w:val="39DE2CE5"/>
    <w:rsid w:val="39E70132"/>
    <w:rsid w:val="39F2130B"/>
    <w:rsid w:val="39F82A5A"/>
    <w:rsid w:val="3A152FCE"/>
    <w:rsid w:val="3A48659A"/>
    <w:rsid w:val="3A7470DC"/>
    <w:rsid w:val="3A8C3B47"/>
    <w:rsid w:val="3AB772D4"/>
    <w:rsid w:val="3AD21BE1"/>
    <w:rsid w:val="3AE7557F"/>
    <w:rsid w:val="3B120A5B"/>
    <w:rsid w:val="3B1538D5"/>
    <w:rsid w:val="3B355D50"/>
    <w:rsid w:val="3B83536D"/>
    <w:rsid w:val="3BA27158"/>
    <w:rsid w:val="3BAB08BF"/>
    <w:rsid w:val="3BFF0565"/>
    <w:rsid w:val="3C004952"/>
    <w:rsid w:val="3C3152AC"/>
    <w:rsid w:val="3C4C54E0"/>
    <w:rsid w:val="3C835BD5"/>
    <w:rsid w:val="3CDF42D4"/>
    <w:rsid w:val="3D387351"/>
    <w:rsid w:val="3D533838"/>
    <w:rsid w:val="3D561E51"/>
    <w:rsid w:val="3D9C2DF5"/>
    <w:rsid w:val="3DCC27EB"/>
    <w:rsid w:val="3E152CEC"/>
    <w:rsid w:val="3EB34D14"/>
    <w:rsid w:val="3EB74FAD"/>
    <w:rsid w:val="3EC5427B"/>
    <w:rsid w:val="3EDE4F9F"/>
    <w:rsid w:val="3F137BB9"/>
    <w:rsid w:val="3F335355"/>
    <w:rsid w:val="3F507D51"/>
    <w:rsid w:val="3F761AE2"/>
    <w:rsid w:val="3F9E7B5B"/>
    <w:rsid w:val="3FF31C86"/>
    <w:rsid w:val="3FF35AE9"/>
    <w:rsid w:val="3FF727BC"/>
    <w:rsid w:val="401F077D"/>
    <w:rsid w:val="402E3A8C"/>
    <w:rsid w:val="40CC1EA7"/>
    <w:rsid w:val="40DB5220"/>
    <w:rsid w:val="4170716C"/>
    <w:rsid w:val="41D50C1B"/>
    <w:rsid w:val="42437C94"/>
    <w:rsid w:val="427B5490"/>
    <w:rsid w:val="42C63ED1"/>
    <w:rsid w:val="42E534BB"/>
    <w:rsid w:val="42EF7682"/>
    <w:rsid w:val="42FF667E"/>
    <w:rsid w:val="43412686"/>
    <w:rsid w:val="43506564"/>
    <w:rsid w:val="4371797E"/>
    <w:rsid w:val="43B115C2"/>
    <w:rsid w:val="43ED605D"/>
    <w:rsid w:val="4434695D"/>
    <w:rsid w:val="44672E75"/>
    <w:rsid w:val="449A3EA0"/>
    <w:rsid w:val="44C25B6C"/>
    <w:rsid w:val="44CA6D19"/>
    <w:rsid w:val="45014C4F"/>
    <w:rsid w:val="45081200"/>
    <w:rsid w:val="45386969"/>
    <w:rsid w:val="45492E01"/>
    <w:rsid w:val="455D57AC"/>
    <w:rsid w:val="457C1C76"/>
    <w:rsid w:val="45AF6B50"/>
    <w:rsid w:val="45F2511A"/>
    <w:rsid w:val="45F75CD0"/>
    <w:rsid w:val="46040F87"/>
    <w:rsid w:val="465F5EF9"/>
    <w:rsid w:val="46A9322B"/>
    <w:rsid w:val="46E35E10"/>
    <w:rsid w:val="470A6F28"/>
    <w:rsid w:val="471D0C57"/>
    <w:rsid w:val="47482CE6"/>
    <w:rsid w:val="47646A9C"/>
    <w:rsid w:val="47B96FCB"/>
    <w:rsid w:val="47CB507B"/>
    <w:rsid w:val="47D61951"/>
    <w:rsid w:val="47E7391F"/>
    <w:rsid w:val="4861536D"/>
    <w:rsid w:val="487524B5"/>
    <w:rsid w:val="48957ABB"/>
    <w:rsid w:val="490E03EE"/>
    <w:rsid w:val="491124BA"/>
    <w:rsid w:val="49486652"/>
    <w:rsid w:val="496D10AA"/>
    <w:rsid w:val="496D326A"/>
    <w:rsid w:val="49856E98"/>
    <w:rsid w:val="498D314E"/>
    <w:rsid w:val="49C32581"/>
    <w:rsid w:val="49DD2CCE"/>
    <w:rsid w:val="4A000468"/>
    <w:rsid w:val="4A061D68"/>
    <w:rsid w:val="4A2159F8"/>
    <w:rsid w:val="4A284996"/>
    <w:rsid w:val="4AC14FE7"/>
    <w:rsid w:val="4AE81B4E"/>
    <w:rsid w:val="4B1D2F5E"/>
    <w:rsid w:val="4B1D579F"/>
    <w:rsid w:val="4B5167A4"/>
    <w:rsid w:val="4B8A59C9"/>
    <w:rsid w:val="4B8E576A"/>
    <w:rsid w:val="4BA6470A"/>
    <w:rsid w:val="4BB50595"/>
    <w:rsid w:val="4BC4093F"/>
    <w:rsid w:val="4BE87C2D"/>
    <w:rsid w:val="4C506FD4"/>
    <w:rsid w:val="4C6012CC"/>
    <w:rsid w:val="4C8713F5"/>
    <w:rsid w:val="4C8F1A7E"/>
    <w:rsid w:val="4CF42F2A"/>
    <w:rsid w:val="4D401571"/>
    <w:rsid w:val="4D4B2648"/>
    <w:rsid w:val="4D505917"/>
    <w:rsid w:val="4D59536D"/>
    <w:rsid w:val="4D6F742A"/>
    <w:rsid w:val="4D7403F6"/>
    <w:rsid w:val="4D7746C4"/>
    <w:rsid w:val="4DAF1D03"/>
    <w:rsid w:val="4E096414"/>
    <w:rsid w:val="4E6276B1"/>
    <w:rsid w:val="4EF68DAA"/>
    <w:rsid w:val="4F007553"/>
    <w:rsid w:val="4F0D3758"/>
    <w:rsid w:val="4FC2420B"/>
    <w:rsid w:val="50707EC4"/>
    <w:rsid w:val="50896C17"/>
    <w:rsid w:val="508B02F7"/>
    <w:rsid w:val="50BE27EE"/>
    <w:rsid w:val="51177281"/>
    <w:rsid w:val="51253E21"/>
    <w:rsid w:val="514A6F60"/>
    <w:rsid w:val="5167304A"/>
    <w:rsid w:val="51AE3627"/>
    <w:rsid w:val="51B353C3"/>
    <w:rsid w:val="51B87EDD"/>
    <w:rsid w:val="51D503EE"/>
    <w:rsid w:val="52EA6A20"/>
    <w:rsid w:val="531E61BE"/>
    <w:rsid w:val="533B2C9C"/>
    <w:rsid w:val="538F72F5"/>
    <w:rsid w:val="53DD7FC2"/>
    <w:rsid w:val="5449603D"/>
    <w:rsid w:val="545F2C44"/>
    <w:rsid w:val="54783EF9"/>
    <w:rsid w:val="549720E9"/>
    <w:rsid w:val="54F92E91"/>
    <w:rsid w:val="5557332F"/>
    <w:rsid w:val="555E5F15"/>
    <w:rsid w:val="55753783"/>
    <w:rsid w:val="55A26BA2"/>
    <w:rsid w:val="55A65ED4"/>
    <w:rsid w:val="55CB223F"/>
    <w:rsid w:val="55CB686A"/>
    <w:rsid w:val="55E95962"/>
    <w:rsid w:val="56041D4D"/>
    <w:rsid w:val="56090AD9"/>
    <w:rsid w:val="56754775"/>
    <w:rsid w:val="5695194F"/>
    <w:rsid w:val="576D4942"/>
    <w:rsid w:val="57821FCB"/>
    <w:rsid w:val="57855958"/>
    <w:rsid w:val="57BD47B3"/>
    <w:rsid w:val="57CA720C"/>
    <w:rsid w:val="57F53540"/>
    <w:rsid w:val="583858D0"/>
    <w:rsid w:val="5865517D"/>
    <w:rsid w:val="58AF4E2F"/>
    <w:rsid w:val="58FC6FA8"/>
    <w:rsid w:val="594D1D15"/>
    <w:rsid w:val="59B54DF2"/>
    <w:rsid w:val="59C32B41"/>
    <w:rsid w:val="59D41010"/>
    <w:rsid w:val="59E87DA9"/>
    <w:rsid w:val="5A5C37A7"/>
    <w:rsid w:val="5A7920C7"/>
    <w:rsid w:val="5AB00391"/>
    <w:rsid w:val="5AB54FE2"/>
    <w:rsid w:val="5AF02999"/>
    <w:rsid w:val="5AF13F90"/>
    <w:rsid w:val="5B2C5F72"/>
    <w:rsid w:val="5B4609D7"/>
    <w:rsid w:val="5B8C2E04"/>
    <w:rsid w:val="5B901142"/>
    <w:rsid w:val="5BA134BE"/>
    <w:rsid w:val="5BA27C7A"/>
    <w:rsid w:val="5BFF5545"/>
    <w:rsid w:val="5C196890"/>
    <w:rsid w:val="5C252DE8"/>
    <w:rsid w:val="5C286DC2"/>
    <w:rsid w:val="5C7831E5"/>
    <w:rsid w:val="5C815861"/>
    <w:rsid w:val="5CB32FF0"/>
    <w:rsid w:val="5D0C052C"/>
    <w:rsid w:val="5D0F0E05"/>
    <w:rsid w:val="5D3C1E46"/>
    <w:rsid w:val="5D4E3D26"/>
    <w:rsid w:val="5DA05EA9"/>
    <w:rsid w:val="5DA37CE3"/>
    <w:rsid w:val="5DA50CEB"/>
    <w:rsid w:val="5DDA1C85"/>
    <w:rsid w:val="5DFF067B"/>
    <w:rsid w:val="5E1E704D"/>
    <w:rsid w:val="5E3C6BDB"/>
    <w:rsid w:val="5E6862DD"/>
    <w:rsid w:val="5E7C6A91"/>
    <w:rsid w:val="5E9A56D2"/>
    <w:rsid w:val="5EEE6744"/>
    <w:rsid w:val="5F311296"/>
    <w:rsid w:val="5F83519B"/>
    <w:rsid w:val="5F8C32F3"/>
    <w:rsid w:val="5FBD42B7"/>
    <w:rsid w:val="5FC40D14"/>
    <w:rsid w:val="5FC62CC7"/>
    <w:rsid w:val="6025658A"/>
    <w:rsid w:val="602C6D89"/>
    <w:rsid w:val="602E3A69"/>
    <w:rsid w:val="60402A3A"/>
    <w:rsid w:val="60402CCC"/>
    <w:rsid w:val="60A45FDC"/>
    <w:rsid w:val="60C934AF"/>
    <w:rsid w:val="615F4CFF"/>
    <w:rsid w:val="6175192A"/>
    <w:rsid w:val="617B6B0B"/>
    <w:rsid w:val="61852A07"/>
    <w:rsid w:val="61CE0540"/>
    <w:rsid w:val="620B511D"/>
    <w:rsid w:val="6226462D"/>
    <w:rsid w:val="622C1EFA"/>
    <w:rsid w:val="623D7DDB"/>
    <w:rsid w:val="62601BB5"/>
    <w:rsid w:val="6264202B"/>
    <w:rsid w:val="628B44F8"/>
    <w:rsid w:val="62F25F74"/>
    <w:rsid w:val="62F37D78"/>
    <w:rsid w:val="62FA71AB"/>
    <w:rsid w:val="632223A6"/>
    <w:rsid w:val="633A25C2"/>
    <w:rsid w:val="63593BE4"/>
    <w:rsid w:val="63893D20"/>
    <w:rsid w:val="63947979"/>
    <w:rsid w:val="63AF158D"/>
    <w:rsid w:val="63C624A1"/>
    <w:rsid w:val="63C6796B"/>
    <w:rsid w:val="63E62383"/>
    <w:rsid w:val="6404699E"/>
    <w:rsid w:val="648411F8"/>
    <w:rsid w:val="6499209A"/>
    <w:rsid w:val="64A1332F"/>
    <w:rsid w:val="64A8120E"/>
    <w:rsid w:val="64B17D0B"/>
    <w:rsid w:val="64D61F7E"/>
    <w:rsid w:val="64E52A44"/>
    <w:rsid w:val="64FB7C17"/>
    <w:rsid w:val="65025FA5"/>
    <w:rsid w:val="6538073D"/>
    <w:rsid w:val="65947B38"/>
    <w:rsid w:val="65C87626"/>
    <w:rsid w:val="65CD1339"/>
    <w:rsid w:val="66183920"/>
    <w:rsid w:val="66217249"/>
    <w:rsid w:val="66663792"/>
    <w:rsid w:val="66782C30"/>
    <w:rsid w:val="669D203D"/>
    <w:rsid w:val="66A07185"/>
    <w:rsid w:val="671F7997"/>
    <w:rsid w:val="672E2133"/>
    <w:rsid w:val="67441C95"/>
    <w:rsid w:val="677411D9"/>
    <w:rsid w:val="678474DC"/>
    <w:rsid w:val="679535D5"/>
    <w:rsid w:val="67B34245"/>
    <w:rsid w:val="67FA2263"/>
    <w:rsid w:val="68444B6F"/>
    <w:rsid w:val="686552D9"/>
    <w:rsid w:val="686B660A"/>
    <w:rsid w:val="68826C2A"/>
    <w:rsid w:val="688F3D1F"/>
    <w:rsid w:val="691E06B4"/>
    <w:rsid w:val="693D049E"/>
    <w:rsid w:val="697B7840"/>
    <w:rsid w:val="699921FD"/>
    <w:rsid w:val="6A1A75AB"/>
    <w:rsid w:val="6A672E6D"/>
    <w:rsid w:val="6A7E4015"/>
    <w:rsid w:val="6AAC67D1"/>
    <w:rsid w:val="6AB430FE"/>
    <w:rsid w:val="6AED7599"/>
    <w:rsid w:val="6B0D3E7D"/>
    <w:rsid w:val="6B150804"/>
    <w:rsid w:val="6B197ACE"/>
    <w:rsid w:val="6B2A11A1"/>
    <w:rsid w:val="6B33590B"/>
    <w:rsid w:val="6B7111C2"/>
    <w:rsid w:val="6B8058A9"/>
    <w:rsid w:val="6BB716DE"/>
    <w:rsid w:val="6BBF4A1A"/>
    <w:rsid w:val="6BE04BE9"/>
    <w:rsid w:val="6C7D1B65"/>
    <w:rsid w:val="6C826BC2"/>
    <w:rsid w:val="6CBB7DF2"/>
    <w:rsid w:val="6CFA1428"/>
    <w:rsid w:val="6D61775B"/>
    <w:rsid w:val="6D867913"/>
    <w:rsid w:val="6D9647CC"/>
    <w:rsid w:val="6DB50C23"/>
    <w:rsid w:val="6DC75C2A"/>
    <w:rsid w:val="6DFF0C65"/>
    <w:rsid w:val="6E86654C"/>
    <w:rsid w:val="6E922D07"/>
    <w:rsid w:val="6EA97F87"/>
    <w:rsid w:val="6EBE63EF"/>
    <w:rsid w:val="6F30643B"/>
    <w:rsid w:val="6F367B24"/>
    <w:rsid w:val="6F4042A1"/>
    <w:rsid w:val="708E0A1E"/>
    <w:rsid w:val="709D65CA"/>
    <w:rsid w:val="70D613B9"/>
    <w:rsid w:val="71112948"/>
    <w:rsid w:val="712E7B73"/>
    <w:rsid w:val="7135757B"/>
    <w:rsid w:val="71930FC6"/>
    <w:rsid w:val="72327F19"/>
    <w:rsid w:val="7248629C"/>
    <w:rsid w:val="725141C2"/>
    <w:rsid w:val="72A2792B"/>
    <w:rsid w:val="72B121AC"/>
    <w:rsid w:val="72DE4E0A"/>
    <w:rsid w:val="72F1D708"/>
    <w:rsid w:val="73102D80"/>
    <w:rsid w:val="735D0E9F"/>
    <w:rsid w:val="73724626"/>
    <w:rsid w:val="743B1F71"/>
    <w:rsid w:val="74446086"/>
    <w:rsid w:val="745861F2"/>
    <w:rsid w:val="746F7350"/>
    <w:rsid w:val="74D16B15"/>
    <w:rsid w:val="74F00F3B"/>
    <w:rsid w:val="74F306FC"/>
    <w:rsid w:val="750D1C8B"/>
    <w:rsid w:val="757E3A71"/>
    <w:rsid w:val="75860513"/>
    <w:rsid w:val="7586457C"/>
    <w:rsid w:val="758F27DE"/>
    <w:rsid w:val="75EF43D6"/>
    <w:rsid w:val="761F7042"/>
    <w:rsid w:val="768F062E"/>
    <w:rsid w:val="76F43D7E"/>
    <w:rsid w:val="77055676"/>
    <w:rsid w:val="77A00565"/>
    <w:rsid w:val="77A477EB"/>
    <w:rsid w:val="77A619F4"/>
    <w:rsid w:val="77CF3A97"/>
    <w:rsid w:val="780E15D3"/>
    <w:rsid w:val="78354B2D"/>
    <w:rsid w:val="786428B4"/>
    <w:rsid w:val="787E49B2"/>
    <w:rsid w:val="788C556A"/>
    <w:rsid w:val="7921574D"/>
    <w:rsid w:val="796F2040"/>
    <w:rsid w:val="79BC2BA0"/>
    <w:rsid w:val="79C7642A"/>
    <w:rsid w:val="7A945C2F"/>
    <w:rsid w:val="7ABB5829"/>
    <w:rsid w:val="7AC03E56"/>
    <w:rsid w:val="7ADE4CD8"/>
    <w:rsid w:val="7AE22823"/>
    <w:rsid w:val="7B03269E"/>
    <w:rsid w:val="7C140074"/>
    <w:rsid w:val="7CDC048D"/>
    <w:rsid w:val="7D076964"/>
    <w:rsid w:val="7D2FFA91"/>
    <w:rsid w:val="7D3361FA"/>
    <w:rsid w:val="7D51200F"/>
    <w:rsid w:val="7D7E6D2A"/>
    <w:rsid w:val="7DD33F44"/>
    <w:rsid w:val="7DF90DDB"/>
    <w:rsid w:val="7E3F359E"/>
    <w:rsid w:val="7E4036D9"/>
    <w:rsid w:val="7E4623E7"/>
    <w:rsid w:val="7E984AB2"/>
    <w:rsid w:val="7EC26550"/>
    <w:rsid w:val="7ECE6C76"/>
    <w:rsid w:val="7EDD39EF"/>
    <w:rsid w:val="7EE04F3D"/>
    <w:rsid w:val="7FC6755D"/>
    <w:rsid w:val="7FDC1842"/>
    <w:rsid w:val="7FE65C9A"/>
    <w:rsid w:val="7FEE6A16"/>
    <w:rsid w:val="93BEE247"/>
    <w:rsid w:val="EEEF3F63"/>
    <w:rsid w:val="F5E98D0A"/>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jc w:val="both"/>
      <w:outlineLvl w:val="1"/>
    </w:pPr>
    <w:rPr>
      <w:rFonts w:ascii="Calibri" w:hAnsi="Calibri" w:eastAsia="宋体" w:cs="Times New Roman"/>
      <w:sz w:val="21"/>
      <w:szCs w:val="21"/>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link w:val="21"/>
    <w:qFormat/>
    <w:uiPriority w:val="0"/>
    <w:pPr>
      <w:jc w:val="left"/>
    </w:pPr>
  </w:style>
  <w:style w:type="paragraph" w:styleId="5">
    <w:name w:val="Balloon Text"/>
    <w:basedOn w:val="1"/>
    <w:semiHidden/>
    <w:qFormat/>
    <w:uiPriority w:val="0"/>
    <w:rPr>
      <w:sz w:val="18"/>
      <w:szCs w:val="18"/>
    </w:r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8">
    <w:name w:val="toc 4"/>
    <w:basedOn w:val="1"/>
    <w:next w:val="1"/>
    <w:qFormat/>
    <w:uiPriority w:val="0"/>
    <w:pPr>
      <w:wordWrap w:val="0"/>
      <w:ind w:left="850"/>
    </w:pPr>
    <w:rPr>
      <w:rFonts w:ascii="Calibri" w:hAnsi="Calibri"/>
    </w:rPr>
  </w:style>
  <w:style w:type="paragraph" w:styleId="9">
    <w:name w:val="Normal (Web)"/>
    <w:basedOn w:val="1"/>
    <w:qFormat/>
    <w:uiPriority w:val="0"/>
    <w:pPr>
      <w:spacing w:before="100" w:beforeAutospacing="1" w:after="100" w:afterAutospacing="1"/>
      <w:jc w:val="left"/>
    </w:pPr>
    <w:rPr>
      <w:rFonts w:cs="Tunga"/>
      <w:kern w:val="0"/>
      <w:sz w:val="24"/>
      <w:lang w:bidi="kn-IN"/>
    </w:rPr>
  </w:style>
  <w:style w:type="paragraph" w:styleId="10">
    <w:name w:val="annotation subject"/>
    <w:basedOn w:val="4"/>
    <w:next w:val="4"/>
    <w:link w:val="24"/>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basedOn w:val="13"/>
    <w:qFormat/>
    <w:uiPriority w:val="0"/>
  </w:style>
  <w:style w:type="character" w:styleId="16">
    <w:name w:val="FollowedHyperlink"/>
    <w:basedOn w:val="13"/>
    <w:qFormat/>
    <w:uiPriority w:val="0"/>
    <w:rPr>
      <w:color w:val="0066CC"/>
      <w:u w:val="none"/>
    </w:rPr>
  </w:style>
  <w:style w:type="character" w:styleId="17">
    <w:name w:val="Emphasis"/>
    <w:basedOn w:val="13"/>
    <w:qFormat/>
    <w:uiPriority w:val="0"/>
    <w:rPr>
      <w:color w:val="D00000"/>
      <w:u w:val="none"/>
    </w:rPr>
  </w:style>
  <w:style w:type="character" w:styleId="18">
    <w:name w:val="line number"/>
    <w:basedOn w:val="13"/>
    <w:qFormat/>
    <w:uiPriority w:val="0"/>
  </w:style>
  <w:style w:type="character" w:styleId="19">
    <w:name w:val="Hyperlink"/>
    <w:basedOn w:val="13"/>
    <w:qFormat/>
    <w:uiPriority w:val="0"/>
    <w:rPr>
      <w:color w:val="0066CC"/>
      <w:u w:val="none"/>
    </w:rPr>
  </w:style>
  <w:style w:type="character" w:styleId="20">
    <w:name w:val="annotation reference"/>
    <w:qFormat/>
    <w:uiPriority w:val="99"/>
    <w:rPr>
      <w:sz w:val="21"/>
      <w:szCs w:val="21"/>
    </w:rPr>
  </w:style>
  <w:style w:type="character" w:customStyle="1" w:styleId="21">
    <w:name w:val="批注文字 字符"/>
    <w:link w:val="4"/>
    <w:qFormat/>
    <w:uiPriority w:val="0"/>
    <w:rPr>
      <w:kern w:val="2"/>
      <w:sz w:val="21"/>
      <w:szCs w:val="24"/>
    </w:rPr>
  </w:style>
  <w:style w:type="character" w:customStyle="1" w:styleId="22">
    <w:name w:val="页脚 字符"/>
    <w:link w:val="6"/>
    <w:qFormat/>
    <w:uiPriority w:val="99"/>
    <w:rPr>
      <w:kern w:val="2"/>
      <w:sz w:val="18"/>
      <w:szCs w:val="18"/>
    </w:rPr>
  </w:style>
  <w:style w:type="character" w:customStyle="1" w:styleId="23">
    <w:name w:val="页眉 字符"/>
    <w:link w:val="7"/>
    <w:qFormat/>
    <w:uiPriority w:val="99"/>
    <w:rPr>
      <w:kern w:val="2"/>
      <w:sz w:val="18"/>
      <w:szCs w:val="18"/>
    </w:rPr>
  </w:style>
  <w:style w:type="character" w:customStyle="1" w:styleId="24">
    <w:name w:val="批注主题 字符"/>
    <w:link w:val="10"/>
    <w:qFormat/>
    <w:uiPriority w:val="0"/>
    <w:rPr>
      <w:b/>
      <w:bCs/>
      <w:kern w:val="2"/>
      <w:sz w:val="21"/>
      <w:szCs w:val="24"/>
    </w:rPr>
  </w:style>
  <w:style w:type="character" w:customStyle="1" w:styleId="25">
    <w:name w:val="description"/>
    <w:basedOn w:val="13"/>
    <w:qFormat/>
    <w:uiPriority w:val="0"/>
  </w:style>
  <w:style w:type="paragraph" w:styleId="26">
    <w:name w:val="List Paragraph"/>
    <w:basedOn w:val="1"/>
    <w:qFormat/>
    <w:uiPriority w:val="34"/>
    <w:pPr>
      <w:ind w:firstLine="420" w:firstLineChars="200"/>
    </w:pPr>
  </w:style>
  <w:style w:type="paragraph" w:customStyle="1" w:styleId="27">
    <w:name w:val="_Style 24"/>
    <w:unhideWhenUsed/>
    <w:qFormat/>
    <w:uiPriority w:val="99"/>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9">
    <w:name w:val="first-child"/>
    <w:basedOn w:val="13"/>
    <w:qFormat/>
    <w:uiPriority w:val="0"/>
  </w:style>
  <w:style w:type="character" w:customStyle="1" w:styleId="30">
    <w:name w:val="done"/>
    <w:basedOn w:val="13"/>
    <w:qFormat/>
    <w:uiPriority w:val="0"/>
    <w:rPr>
      <w:color w:val="DDDDDD"/>
    </w:rPr>
  </w:style>
  <w:style w:type="character" w:customStyle="1" w:styleId="31">
    <w:name w:val="done1"/>
    <w:basedOn w:val="13"/>
    <w:qFormat/>
    <w:uiPriority w:val="0"/>
    <w:rPr>
      <w:color w:val="DDDDDD"/>
    </w:rPr>
  </w:style>
  <w:style w:type="character" w:customStyle="1" w:styleId="32">
    <w:name w:val="hover21"/>
    <w:basedOn w:val="13"/>
    <w:qFormat/>
    <w:uiPriority w:val="0"/>
    <w:rPr>
      <w:color w:val="4F6EF2"/>
    </w:rPr>
  </w:style>
  <w:style w:type="character" w:customStyle="1" w:styleId="33">
    <w:name w:val="hover22"/>
    <w:basedOn w:val="13"/>
    <w:qFormat/>
    <w:uiPriority w:val="0"/>
    <w:rPr>
      <w:color w:val="4F6EF2"/>
    </w:rPr>
  </w:style>
  <w:style w:type="character" w:customStyle="1" w:styleId="34">
    <w:name w:val="footer_close"/>
    <w:basedOn w:val="13"/>
    <w:qFormat/>
    <w:uiPriority w:val="0"/>
    <w:rPr>
      <w:sz w:val="10"/>
      <w:szCs w:val="10"/>
    </w:rPr>
  </w:style>
  <w:style w:type="character" w:customStyle="1" w:styleId="35">
    <w:name w:val="wenku-get-icon"/>
    <w:basedOn w:val="13"/>
    <w:qFormat/>
    <w:uiPriority w:val="0"/>
    <w:rPr>
      <w:vanish/>
      <w:color w:val="0066CC"/>
      <w:spacing w:val="0"/>
      <w:sz w:val="12"/>
      <w:szCs w:val="12"/>
    </w:rPr>
  </w:style>
  <w:style w:type="character" w:customStyle="1" w:styleId="36">
    <w:name w:val="common_page_set_text"/>
    <w:basedOn w:val="13"/>
    <w:qFormat/>
    <w:uiPriority w:val="0"/>
  </w:style>
  <w:style w:type="character" w:customStyle="1" w:styleId="37">
    <w:name w:val="bg"/>
    <w:basedOn w:val="13"/>
    <w:qFormat/>
    <w:uiPriority w:val="0"/>
  </w:style>
  <w:style w:type="character" w:customStyle="1" w:styleId="38">
    <w:name w:val="common_page_set_select"/>
    <w:basedOn w:val="13"/>
    <w:qFormat/>
    <w:uiPriority w:val="0"/>
    <w:rPr>
      <w:bdr w:val="single" w:color="E8E8E8" w:sz="4" w:space="0"/>
      <w:shd w:val="clear" w:color="auto" w:fill="FFFFFF"/>
    </w:rPr>
  </w:style>
  <w:style w:type="paragraph" w:styleId="39">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2FCA78FA-C350-4EA5-AAFB-8B5667B917C3}">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8</Pages>
  <Words>600</Words>
  <Characters>3423</Characters>
  <Lines>28</Lines>
  <Paragraphs>8</Paragraphs>
  <TotalTime>56</TotalTime>
  <ScaleCrop>false</ScaleCrop>
  <LinksUpToDate>false</LinksUpToDate>
  <CharactersWithSpaces>4015</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2025-09-22T21:30:00Z</dcterms:created>
  <dc:creator>Xtzj.User</dc:creator>
  <cp:lastModifiedBy>熊猫先生</cp:lastModifiedBy>
  <cp:lastPrinted>2021-11-24T08:19:00Z</cp:lastPrinted>
  <dcterms:modified xsi:type="dcterms:W3CDTF">2025-12-15T15:47:39Z</dcterms:modified>
  <dc:title>（局发文式样）</dc:title>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271452F0C8A8BA7C1BBD3F69E51E7806_43</vt:lpwstr>
  </property>
  <property fmtid="{D5CDD505-2E9C-101B-9397-08002B2CF9AE}" pid="4" name="KSOTemplateDocerSaveRecord">
    <vt:lpwstr>eyJoZGlkIjoiYzBiNDNhNGQyZTY2YjQ1ZjA4NTA4MTFkOTkzZmI3ZmUifQ==</vt:lpwstr>
  </property>
</Properties>
</file>