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31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122DC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788AC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国家药监局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化妆品安全技术规范</w:t>
      </w:r>
    </w:p>
    <w:p w14:paraId="7A985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（2015年版）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》修订内容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实施</w:t>
      </w:r>
    </w:p>
    <w:p w14:paraId="462B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有关事宜的公告</w:t>
      </w:r>
    </w:p>
    <w:p w14:paraId="01D0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（征求意见稿）</w:t>
      </w:r>
    </w:p>
    <w:p w14:paraId="59D07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2174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针对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《化妆品安全技术规范（2015年版）》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（以下简称《规范》）近期修订情况，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现就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禁限用、准用原料目录调整、微生物、有害物质限值调整、检验方法补充更新等实施事宜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公告如下：</w:t>
      </w:r>
    </w:p>
    <w:p w14:paraId="4AD634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关于已上市产品注册备案信息变更更新事宜</w:t>
      </w:r>
    </w:p>
    <w:p w14:paraId="6C82F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《规范》修订涉及禁限用、准用原料目录调整</w:t>
      </w:r>
    </w:p>
    <w:p w14:paraId="543DC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《规范》修订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已注册备案产品，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《规范》修订后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要求需要对配方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、标签等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进行调整的，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化妆品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注册人、备案人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可以在《规范》修订内容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实施前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提出变更申请。</w:t>
      </w:r>
    </w:p>
    <w:p w14:paraId="0BB60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对于将相关原料替换为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溶剂、填充剂等基质原料，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减少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原料使用量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的，化妆品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注册人、备案人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对配方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变更情况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予以说明并进行安全评估，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无需开展注册备案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检验</w:t>
      </w:r>
      <w:bookmarkStart w:id="0" w:name="OLE_LINK7"/>
      <w:bookmarkStart w:id="1" w:name="OLE_LINK8"/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涉及调整成分对产品功效产生影响的，需重新进行功效评价，并根据功效评价结果，变更产品名称、标签样稿等相关内容。</w:t>
      </w:r>
    </w:p>
    <w:p w14:paraId="2817D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对于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变更香精的，</w:t>
      </w:r>
      <w:bookmarkEnd w:id="0"/>
      <w:bookmarkEnd w:id="1"/>
      <w:bookmarkStart w:id="2" w:name="OLE_LINK5"/>
      <w:bookmarkStart w:id="3" w:name="OLE_LINK6"/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化妆品注册人、备案人</w:t>
      </w:r>
      <w:bookmarkEnd w:id="2"/>
      <w:bookmarkEnd w:id="3"/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拟变更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的香精进行安全评估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提供其符合我国相关国家标准或国际日用香料协会（IFRA）标准的证明资料。</w:t>
      </w:r>
    </w:p>
    <w:p w14:paraId="43A02A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>除上述情形之外的配方调整，化妆品注册人、备案人应当重新进行注册备案检验并开展安全评估后提出变更申请。</w:t>
      </w:r>
    </w:p>
    <w:p w14:paraId="32DD2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《规范》修订涉及微生物、有害物质限值调整</w:t>
      </w:r>
    </w:p>
    <w:p w14:paraId="416EB1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>《规范》修订涉及微生物限值、有害物质限值调整的，化妆品注册人、备案人应当对已注册备案产品进行自查评估。</w:t>
      </w:r>
    </w:p>
    <w:p w14:paraId="52333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原注册备案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资料中的检验报告、评估结果等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能够满足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>《规范》修订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后要求的，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化妆品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注册人、备案人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自行维护更新产品执行的标准</w:t>
      </w:r>
      <w:r>
        <w:rPr>
          <w:rFonts w:hint="default" w:ascii="Times New Roman" w:hAnsi="Times New Roman" w:eastAsia="仿宋_GB2312" w:cs="Times New Roman"/>
          <w:bCs/>
          <w:strike w:val="0"/>
          <w:sz w:val="32"/>
          <w:szCs w:val="32"/>
          <w:highlight w:val="none"/>
        </w:rPr>
        <w:t>，产品注册备案资料存档备查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。</w:t>
      </w:r>
    </w:p>
    <w:p w14:paraId="2992C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原注册备案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资料中的检验报告、评估结果等不能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满足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>《规范》修订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后要求的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，化妆品注册人、备案人可以采取调整产品生产工艺、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质量控制措施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等方法，并重新进行注册备案检验，符合要求的可以提出变更申请。</w:t>
      </w:r>
    </w:p>
    <w:p w14:paraId="187EC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《规范》修订涉及检验方法调整</w:t>
      </w:r>
    </w:p>
    <w:p w14:paraId="3F89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《规范》修订涉及产品质量安全相关检验方法补充更新的，化妆品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注册人、备案人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应当自查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评估确认已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注册备案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产品是否符合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《规范》修订后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要求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。符合要求的，应当在《规范》修订内容实施前，自行维护更新产品执行的标准，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相关安全评估资料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检验报告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存档备查。</w:t>
      </w:r>
    </w:p>
    <w:p w14:paraId="4E5ED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涉及防晒、祛斑美白和防脱发功效测试方法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调整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的，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规范》修订内容实施前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已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注册的产品无需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调整后的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方法重新进行功效测试。</w:t>
      </w:r>
    </w:p>
    <w:p w14:paraId="1B601C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关于技术审评中或拟申报产品注册备案事宜</w:t>
      </w:r>
    </w:p>
    <w:p w14:paraId="3CF1E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《规范》修订内容实施前，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已开展注册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备案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检验的产品，其检验报告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在注册备案时使用。</w:t>
      </w:r>
    </w:p>
    <w:p w14:paraId="2F23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对于正在技术审评中的产品，允许化妆品注册人在补充资料阶段调整《规范》修订涉及的禁限用、准用原料。调整相关原料为基质原料或者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减少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原料使用量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的，可以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对配方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变更情况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予以说明并进行安全评估，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无需开展注册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检验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，但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涉及调整成分对产品功效产生影响的，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在补充资料时提供变更配方后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相应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的功效试验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资料；调整相关原料为非基质原料的，应当重新进行注册检验和安全评估，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提供相关资料。</w:t>
      </w:r>
    </w:p>
    <w:p w14:paraId="37AA3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特此公告。</w:t>
      </w:r>
    </w:p>
    <w:p w14:paraId="643D94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B69B42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3ACF1"/>
    <w:multiLevelType w:val="singleLevel"/>
    <w:tmpl w:val="F2A3ACF1"/>
    <w:lvl w:ilvl="0" w:tentative="0">
      <w:start w:val="1"/>
      <w:numFmt w:val="chineseCounting"/>
      <w:suff w:val="nothing"/>
      <w:lvlText w:val="%1、"/>
      <w:lvlJc w:val="left"/>
      <w:pPr>
        <w:ind w:left="800" w:firstLine="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F04EA"/>
    <w:rsid w:val="42D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6">
    <w:name w:val="样式1"/>
    <w:basedOn w:val="1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2026-07-15T08:13:00Z</dcterms:created>
  <dc:creator>YU</dc:creator>
  <cp:lastModifiedBy>YU</cp:lastModifiedBy>
  <dcterms:modified xsi:type="dcterms:W3CDTF">2026-07-15T08:14:23Z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C3BBC6E8489B489CBDC510CDA3BD2AEA_11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